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B3CD5" w14:textId="77777777" w:rsidR="00A615A6" w:rsidRDefault="00A615A6">
      <w:pPr>
        <w:widowControl w:val="0"/>
        <w:spacing w:line="360" w:lineRule="auto"/>
        <w:ind w:right="-220"/>
        <w:jc w:val="both"/>
        <w:rPr>
          <w:rFonts w:ascii="Times New Roman" w:eastAsia="Times New Roman" w:hAnsi="Times New Roman" w:cs="Times New Roman"/>
          <w:b/>
          <w:sz w:val="22"/>
          <w:szCs w:val="22"/>
        </w:rPr>
      </w:pPr>
    </w:p>
    <w:p w14:paraId="5DA9796D"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Bogotá D.C. 1 de enero de 2025.</w:t>
      </w:r>
    </w:p>
    <w:p w14:paraId="49A43C14" w14:textId="77777777" w:rsidR="00A615A6" w:rsidRDefault="00A615A6">
      <w:pPr>
        <w:spacing w:line="360" w:lineRule="auto"/>
        <w:ind w:right="-220"/>
        <w:jc w:val="both"/>
        <w:rPr>
          <w:rFonts w:ascii="Times New Roman" w:eastAsia="Times New Roman" w:hAnsi="Times New Roman" w:cs="Times New Roman"/>
          <w:sz w:val="22"/>
          <w:szCs w:val="22"/>
        </w:rPr>
      </w:pPr>
    </w:p>
    <w:p w14:paraId="3CA19598"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Doctora:</w:t>
      </w:r>
    </w:p>
    <w:p w14:paraId="1DF4C941" w14:textId="77777777" w:rsidR="00A615A6" w:rsidRDefault="00A92D00">
      <w:pP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LUZ ANGÉLICA VIZCAINO SOLANO. </w:t>
      </w:r>
    </w:p>
    <w:p w14:paraId="52D97EB4"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Secretaria General de Organismo de Control.</w:t>
      </w:r>
    </w:p>
    <w:p w14:paraId="7CDEB327"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Concejo de Bogotá D.C.</w:t>
      </w:r>
    </w:p>
    <w:p w14:paraId="068BD15D"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Ciudad.</w:t>
      </w:r>
    </w:p>
    <w:p w14:paraId="3CEB895E" w14:textId="77777777" w:rsidR="00A615A6" w:rsidRDefault="00A615A6">
      <w:pPr>
        <w:spacing w:line="360" w:lineRule="auto"/>
        <w:ind w:right="-220"/>
        <w:jc w:val="both"/>
        <w:rPr>
          <w:rFonts w:ascii="Times New Roman" w:eastAsia="Times New Roman" w:hAnsi="Times New Roman" w:cs="Times New Roman"/>
          <w:sz w:val="22"/>
          <w:szCs w:val="22"/>
        </w:rPr>
      </w:pPr>
    </w:p>
    <w:p w14:paraId="3301B7E9" w14:textId="77777777" w:rsidR="00A615A6" w:rsidRDefault="00A92D00">
      <w:pPr>
        <w:spacing w:line="360" w:lineRule="auto"/>
        <w:ind w:right="-220"/>
        <w:jc w:val="right"/>
        <w:rPr>
          <w:rFonts w:ascii="Times New Roman" w:eastAsia="Times New Roman" w:hAnsi="Times New Roman" w:cs="Times New Roman"/>
          <w:sz w:val="22"/>
          <w:szCs w:val="22"/>
        </w:rPr>
      </w:pPr>
      <w:r>
        <w:rPr>
          <w:rFonts w:ascii="Times New Roman" w:eastAsia="Times New Roman" w:hAnsi="Times New Roman" w:cs="Times New Roman"/>
          <w:b/>
          <w:sz w:val="22"/>
          <w:szCs w:val="22"/>
        </w:rPr>
        <w:t>Asunto:</w:t>
      </w:r>
      <w:r>
        <w:rPr>
          <w:rFonts w:ascii="Times New Roman" w:eastAsia="Times New Roman" w:hAnsi="Times New Roman" w:cs="Times New Roman"/>
          <w:sz w:val="22"/>
          <w:szCs w:val="22"/>
        </w:rPr>
        <w:t xml:space="preserve"> Radicación Proyecto de Acuerdo.</w:t>
      </w:r>
    </w:p>
    <w:p w14:paraId="63F93A89" w14:textId="77777777" w:rsidR="00A615A6" w:rsidRDefault="00A615A6">
      <w:pPr>
        <w:spacing w:line="360" w:lineRule="auto"/>
        <w:ind w:right="-220"/>
        <w:jc w:val="both"/>
        <w:rPr>
          <w:rFonts w:ascii="Times New Roman" w:eastAsia="Times New Roman" w:hAnsi="Times New Roman" w:cs="Times New Roman"/>
          <w:sz w:val="22"/>
          <w:szCs w:val="22"/>
        </w:rPr>
      </w:pPr>
    </w:p>
    <w:p w14:paraId="6B479240"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Apreciado Doctora:</w:t>
      </w:r>
    </w:p>
    <w:p w14:paraId="33C2A473" w14:textId="77777777" w:rsidR="00A615A6" w:rsidRDefault="00A615A6">
      <w:pPr>
        <w:spacing w:line="360" w:lineRule="auto"/>
        <w:ind w:right="-220"/>
        <w:jc w:val="both"/>
        <w:rPr>
          <w:rFonts w:ascii="Times New Roman" w:eastAsia="Times New Roman" w:hAnsi="Times New Roman" w:cs="Times New Roman"/>
          <w:sz w:val="22"/>
          <w:szCs w:val="22"/>
        </w:rPr>
      </w:pPr>
    </w:p>
    <w:p w14:paraId="4D2BABB7" w14:textId="77777777" w:rsidR="00A615A6" w:rsidRDefault="00A92D00">
      <w:pPr>
        <w:spacing w:line="360" w:lineRule="auto"/>
        <w:ind w:right="-220"/>
        <w:jc w:val="both"/>
        <w:rPr>
          <w:rFonts w:ascii="Times New Roman" w:eastAsia="Times New Roman" w:hAnsi="Times New Roman" w:cs="Times New Roman"/>
          <w:b/>
          <w:i/>
          <w:sz w:val="22"/>
          <w:szCs w:val="22"/>
        </w:rPr>
      </w:pPr>
      <w:r>
        <w:rPr>
          <w:rFonts w:ascii="Times New Roman" w:eastAsia="Times New Roman" w:hAnsi="Times New Roman" w:cs="Times New Roman"/>
          <w:sz w:val="22"/>
          <w:szCs w:val="22"/>
        </w:rPr>
        <w:t xml:space="preserve">Por medio de la presente  y de conformidad con lo dispuesto en los artículos 65, 66 y 67 del Acuerdo 741 de 2019, modificado por el Acuerdo 837 de 2022, me permito radicar ante su despacho el proyecto de acuerdo </w:t>
      </w:r>
      <w:r>
        <w:rPr>
          <w:rFonts w:ascii="Times New Roman" w:eastAsia="Times New Roman" w:hAnsi="Times New Roman" w:cs="Times New Roman"/>
          <w:b/>
          <w:sz w:val="22"/>
          <w:szCs w:val="22"/>
        </w:rPr>
        <w:t>“POR MEDIO DEL CUAL SE INCENTIVAN Y FORTALECEN LAS DISCIPLINAS DE LAS CIENCIAS, LA TECNOLOGÍA, LA TECNOLOGÍA, LAS ARTES Y LAS MATEMÁTICAS - STEAM EN LA CIUDAD DE BOGOTÁ D.C ”</w:t>
      </w:r>
    </w:p>
    <w:p w14:paraId="1F676074" w14:textId="77777777" w:rsidR="00A615A6" w:rsidRDefault="00A615A6">
      <w:pPr>
        <w:spacing w:line="360" w:lineRule="auto"/>
        <w:ind w:right="-220"/>
        <w:jc w:val="both"/>
        <w:rPr>
          <w:rFonts w:ascii="Times New Roman" w:eastAsia="Times New Roman" w:hAnsi="Times New Roman" w:cs="Times New Roman"/>
          <w:b/>
          <w:i/>
          <w:sz w:val="22"/>
          <w:szCs w:val="22"/>
        </w:rPr>
      </w:pPr>
    </w:p>
    <w:p w14:paraId="5BEBF4DE"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Agradezco el trámite respectivo.</w:t>
      </w:r>
    </w:p>
    <w:p w14:paraId="061DC15E" w14:textId="296BA8A3" w:rsidR="00A615A6" w:rsidRDefault="00A615A6">
      <w:pPr>
        <w:spacing w:line="360" w:lineRule="auto"/>
        <w:ind w:right="-220"/>
        <w:jc w:val="both"/>
        <w:rPr>
          <w:rFonts w:ascii="Times New Roman" w:eastAsia="Times New Roman" w:hAnsi="Times New Roman" w:cs="Times New Roman"/>
          <w:b/>
          <w:sz w:val="22"/>
          <w:szCs w:val="22"/>
        </w:rPr>
      </w:pPr>
    </w:p>
    <w:p w14:paraId="3E8FE906"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Cordialmente,</w:t>
      </w:r>
    </w:p>
    <w:p w14:paraId="31EB55A9" w14:textId="77777777" w:rsidR="00A615A6" w:rsidRDefault="00A615A6">
      <w:pPr>
        <w:spacing w:line="360" w:lineRule="auto"/>
        <w:ind w:right="-220"/>
        <w:jc w:val="both"/>
        <w:rPr>
          <w:rFonts w:ascii="Times New Roman" w:eastAsia="Times New Roman" w:hAnsi="Times New Roman" w:cs="Times New Roman"/>
          <w:sz w:val="22"/>
          <w:szCs w:val="22"/>
        </w:rPr>
      </w:pPr>
    </w:p>
    <w:p w14:paraId="2C41FD00" w14:textId="77777777" w:rsidR="00A615A6" w:rsidRDefault="00A615A6">
      <w:pPr>
        <w:spacing w:line="360" w:lineRule="auto"/>
        <w:ind w:right="-220"/>
        <w:jc w:val="both"/>
        <w:rPr>
          <w:rFonts w:ascii="Times New Roman" w:eastAsia="Times New Roman" w:hAnsi="Times New Roman" w:cs="Times New Roman"/>
          <w:sz w:val="22"/>
          <w:szCs w:val="22"/>
        </w:rPr>
      </w:pPr>
    </w:p>
    <w:p w14:paraId="7A93C336" w14:textId="77777777" w:rsidR="00A615A6" w:rsidRDefault="00A615A6">
      <w:pPr>
        <w:spacing w:line="360" w:lineRule="auto"/>
        <w:ind w:right="-220"/>
        <w:jc w:val="both"/>
        <w:rPr>
          <w:rFonts w:ascii="Times New Roman" w:eastAsia="Times New Roman" w:hAnsi="Times New Roman" w:cs="Times New Roman"/>
          <w:sz w:val="22"/>
          <w:szCs w:val="22"/>
        </w:rPr>
      </w:pPr>
    </w:p>
    <w:p w14:paraId="11B4E322" w14:textId="77777777" w:rsidR="00A615A6" w:rsidRDefault="00A615A6">
      <w:pPr>
        <w:spacing w:line="360" w:lineRule="auto"/>
        <w:ind w:right="-220"/>
        <w:jc w:val="both"/>
        <w:rPr>
          <w:rFonts w:ascii="Times New Roman" w:eastAsia="Times New Roman" w:hAnsi="Times New Roman" w:cs="Times New Roman"/>
          <w:sz w:val="22"/>
          <w:szCs w:val="22"/>
        </w:rPr>
      </w:pPr>
    </w:p>
    <w:p w14:paraId="637A5435" w14:textId="77777777" w:rsidR="00A615A6" w:rsidRDefault="00A92D00">
      <w:pP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JULIÁN DAVID RODRÍGUEZ SASTOQUE.</w:t>
      </w:r>
    </w:p>
    <w:p w14:paraId="66FD72AF"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Concejal de Bogotá D.C.</w:t>
      </w:r>
    </w:p>
    <w:p w14:paraId="24257FF6"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Partido Alianza Verde.</w:t>
      </w:r>
    </w:p>
    <w:p w14:paraId="4DAAD8C8" w14:textId="77777777" w:rsidR="00A615A6" w:rsidRDefault="00A615A6">
      <w:pPr>
        <w:spacing w:line="360" w:lineRule="auto"/>
        <w:ind w:right="-220"/>
        <w:jc w:val="both"/>
        <w:rPr>
          <w:rFonts w:ascii="Times New Roman" w:eastAsia="Times New Roman" w:hAnsi="Times New Roman" w:cs="Times New Roman"/>
          <w:sz w:val="22"/>
          <w:szCs w:val="22"/>
        </w:rPr>
      </w:pPr>
    </w:p>
    <w:p w14:paraId="2E4B5762" w14:textId="0A20DA84" w:rsidR="00A615A6" w:rsidRDefault="00A92D00">
      <w:pPr>
        <w:pStyle w:val="Ttulo1"/>
        <w:spacing w:line="360" w:lineRule="auto"/>
        <w:ind w:right="-220"/>
        <w:rPr>
          <w:b/>
          <w:sz w:val="22"/>
          <w:szCs w:val="22"/>
        </w:rPr>
      </w:pPr>
      <w:bookmarkStart w:id="0" w:name="_heading=h.gjdgxs" w:colFirst="0" w:colLast="0"/>
      <w:bookmarkEnd w:id="0"/>
      <w:r>
        <w:rPr>
          <w:b/>
          <w:sz w:val="22"/>
          <w:szCs w:val="22"/>
        </w:rPr>
        <w:lastRenderedPageBreak/>
        <w:t>PROYECTO DE ACUERDO No.</w:t>
      </w:r>
      <w:r w:rsidR="009F098E">
        <w:rPr>
          <w:b/>
          <w:sz w:val="22"/>
          <w:szCs w:val="22"/>
        </w:rPr>
        <w:t xml:space="preserve"> </w:t>
      </w:r>
      <w:r w:rsidR="00794C33">
        <w:rPr>
          <w:b/>
          <w:sz w:val="22"/>
          <w:szCs w:val="22"/>
        </w:rPr>
        <w:t>9</w:t>
      </w:r>
      <w:r w:rsidR="009F098E">
        <w:rPr>
          <w:b/>
          <w:sz w:val="22"/>
          <w:szCs w:val="22"/>
        </w:rPr>
        <w:t>44</w:t>
      </w:r>
      <w:r>
        <w:rPr>
          <w:b/>
          <w:sz w:val="22"/>
          <w:szCs w:val="22"/>
        </w:rPr>
        <w:t xml:space="preserve"> DE  2025</w:t>
      </w:r>
    </w:p>
    <w:p w14:paraId="1B642591" w14:textId="49DC6B28" w:rsidR="00A615A6" w:rsidRDefault="00A92D00">
      <w:pPr>
        <w:pStyle w:val="Ttulo2"/>
        <w:keepNext w:val="0"/>
        <w:spacing w:before="240" w:line="360" w:lineRule="auto"/>
        <w:ind w:right="-220"/>
        <w:jc w:val="center"/>
        <w:rPr>
          <w:rFonts w:ascii="Times New Roman" w:eastAsia="Times New Roman" w:hAnsi="Times New Roman" w:cs="Times New Roman"/>
          <w:b/>
          <w:i/>
          <w:sz w:val="22"/>
          <w:szCs w:val="22"/>
        </w:rPr>
      </w:pPr>
      <w:bookmarkStart w:id="1" w:name="_heading=h.zdid3i93zjhc" w:colFirst="0" w:colLast="0"/>
      <w:bookmarkEnd w:id="1"/>
      <w:r>
        <w:rPr>
          <w:rFonts w:ascii="Times New Roman" w:eastAsia="Times New Roman" w:hAnsi="Times New Roman" w:cs="Times New Roman"/>
          <w:b/>
          <w:color w:val="000000"/>
          <w:sz w:val="22"/>
          <w:szCs w:val="22"/>
        </w:rPr>
        <w:t>“POR MEDIO DEL CUAL SE INCENTIVAN Y FORTALECEN LAS DISCIPLINAS DE LAS CIENCIAS, LA TECNOLOGÍA, LA TECNOLOGÍA, LAS ARTES Y LAS MATEMÁTICAS - STEAM EN LA CIUDAD DE BOGOTÁ D.C”</w:t>
      </w:r>
    </w:p>
    <w:p w14:paraId="6C01F2C8" w14:textId="77777777" w:rsidR="00A615A6" w:rsidRDefault="00A615A6">
      <w:pPr>
        <w:spacing w:line="360" w:lineRule="auto"/>
        <w:ind w:right="-220"/>
        <w:jc w:val="both"/>
        <w:rPr>
          <w:rFonts w:ascii="Times New Roman" w:eastAsia="Times New Roman" w:hAnsi="Times New Roman" w:cs="Times New Roman"/>
          <w:b/>
          <w:sz w:val="22"/>
          <w:szCs w:val="22"/>
        </w:rPr>
      </w:pPr>
    </w:p>
    <w:p w14:paraId="21CBCAF5" w14:textId="77777777" w:rsidR="00A615A6" w:rsidRDefault="00A92D00">
      <w:pPr>
        <w:pStyle w:val="Ttulo1"/>
        <w:numPr>
          <w:ilvl w:val="0"/>
          <w:numId w:val="4"/>
        </w:numPr>
        <w:spacing w:line="360" w:lineRule="auto"/>
        <w:ind w:right="-220"/>
        <w:jc w:val="both"/>
        <w:rPr>
          <w:b/>
          <w:sz w:val="22"/>
          <w:szCs w:val="22"/>
        </w:rPr>
      </w:pPr>
      <w:bookmarkStart w:id="2" w:name="_heading=h.3znysh7" w:colFirst="0" w:colLast="0"/>
      <w:bookmarkEnd w:id="2"/>
      <w:r>
        <w:rPr>
          <w:b/>
          <w:sz w:val="22"/>
          <w:szCs w:val="22"/>
        </w:rPr>
        <w:t>OBJETO DEL PROYECTO.</w:t>
      </w:r>
    </w:p>
    <w:p w14:paraId="2235ECDA" w14:textId="77777777" w:rsidR="00A615A6" w:rsidRDefault="00A615A6">
      <w:pPr>
        <w:pStyle w:val="Ttulo1"/>
        <w:spacing w:line="360" w:lineRule="auto"/>
        <w:ind w:right="-220"/>
        <w:jc w:val="both"/>
        <w:rPr>
          <w:b/>
          <w:sz w:val="22"/>
          <w:szCs w:val="22"/>
        </w:rPr>
      </w:pPr>
      <w:bookmarkStart w:id="3" w:name="_heading=h.xvin4ht0e93f" w:colFirst="0" w:colLast="0"/>
      <w:bookmarkEnd w:id="3"/>
    </w:p>
    <w:p w14:paraId="09CC247E" w14:textId="77777777" w:rsidR="00A615A6" w:rsidRDefault="00A92D00">
      <w:pPr>
        <w:pStyle w:val="Ttulo1"/>
        <w:spacing w:line="360" w:lineRule="auto"/>
        <w:ind w:right="-220"/>
        <w:jc w:val="both"/>
      </w:pPr>
      <w:bookmarkStart w:id="4" w:name="_heading=h.c5v9l55i0loz" w:colFirst="0" w:colLast="0"/>
      <w:bookmarkEnd w:id="4"/>
      <w:r>
        <w:rPr>
          <w:sz w:val="22"/>
          <w:szCs w:val="22"/>
        </w:rPr>
        <w:t xml:space="preserve">Incentivar y fortalecer las disciplinas de las ciencias, la tecnología, la ingeniería, las artes y las matemáticas reconocidas como “STEAM” en la ciudad de Bogotá, impulsando la innovación y el desarrollo en el distrito con enfoque diferencial para la ruralidad, las mujeres y los jóvenes. </w:t>
      </w:r>
    </w:p>
    <w:p w14:paraId="77A09936" w14:textId="77777777" w:rsidR="00A615A6" w:rsidRDefault="00A615A6">
      <w:pPr>
        <w:spacing w:line="360" w:lineRule="auto"/>
        <w:ind w:right="-220"/>
        <w:jc w:val="both"/>
        <w:rPr>
          <w:rFonts w:ascii="Times New Roman" w:eastAsia="Times New Roman" w:hAnsi="Times New Roman" w:cs="Times New Roman"/>
          <w:sz w:val="22"/>
          <w:szCs w:val="22"/>
        </w:rPr>
      </w:pPr>
    </w:p>
    <w:p w14:paraId="6722A998" w14:textId="77777777" w:rsidR="00A615A6" w:rsidRDefault="00A92D00">
      <w:pPr>
        <w:pStyle w:val="Ttulo1"/>
        <w:numPr>
          <w:ilvl w:val="0"/>
          <w:numId w:val="4"/>
        </w:numPr>
        <w:spacing w:line="360" w:lineRule="auto"/>
        <w:ind w:right="-220"/>
        <w:jc w:val="both"/>
        <w:rPr>
          <w:b/>
          <w:sz w:val="22"/>
          <w:szCs w:val="22"/>
        </w:rPr>
      </w:pPr>
      <w:r>
        <w:rPr>
          <w:b/>
          <w:sz w:val="22"/>
          <w:szCs w:val="22"/>
        </w:rPr>
        <w:t>EXPOSICIÓN DE MOTIVOS</w:t>
      </w:r>
    </w:p>
    <w:p w14:paraId="37D12B86" w14:textId="77777777" w:rsidR="00A615A6" w:rsidRDefault="00A615A6">
      <w:pPr>
        <w:spacing w:line="360" w:lineRule="auto"/>
        <w:ind w:right="-220"/>
        <w:jc w:val="both"/>
        <w:rPr>
          <w:rFonts w:ascii="Times New Roman" w:eastAsia="Times New Roman" w:hAnsi="Times New Roman" w:cs="Times New Roman"/>
          <w:sz w:val="22"/>
          <w:szCs w:val="22"/>
        </w:rPr>
      </w:pPr>
    </w:p>
    <w:p w14:paraId="6E7F7E75"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2.2. Definición de STEAM</w:t>
      </w:r>
    </w:p>
    <w:p w14:paraId="2C2332FC"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5D67B75A" w14:textId="77777777" w:rsidR="00A615A6" w:rsidRDefault="00A92D00">
      <w:pPr>
        <w:shd w:val="clear" w:color="auto" w:fill="FFFFFF"/>
        <w:spacing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El término “STEAM” surge de las siglas en inglés de </w:t>
      </w:r>
      <w:proofErr w:type="spellStart"/>
      <w:r>
        <w:rPr>
          <w:rFonts w:ascii="Times New Roman" w:eastAsia="Times New Roman" w:hAnsi="Times New Roman" w:cs="Times New Roman"/>
          <w:sz w:val="22"/>
          <w:szCs w:val="22"/>
        </w:rPr>
        <w:t>Science</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Technology</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Engineering</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Arts</w:t>
      </w:r>
      <w:proofErr w:type="spellEnd"/>
      <w:r>
        <w:rPr>
          <w:rFonts w:ascii="Times New Roman" w:eastAsia="Times New Roman" w:hAnsi="Times New Roman" w:cs="Times New Roman"/>
          <w:sz w:val="22"/>
          <w:szCs w:val="22"/>
        </w:rPr>
        <w:t xml:space="preserve"> &amp; </w:t>
      </w:r>
      <w:proofErr w:type="spellStart"/>
      <w:r>
        <w:rPr>
          <w:rFonts w:ascii="Times New Roman" w:eastAsia="Times New Roman" w:hAnsi="Times New Roman" w:cs="Times New Roman"/>
          <w:sz w:val="22"/>
          <w:szCs w:val="22"/>
        </w:rPr>
        <w:t>Mathematics</w:t>
      </w:r>
      <w:proofErr w:type="spellEnd"/>
      <w:r>
        <w:rPr>
          <w:rFonts w:ascii="Times New Roman" w:eastAsia="Times New Roman" w:hAnsi="Times New Roman" w:cs="Times New Roman"/>
          <w:sz w:val="22"/>
          <w:szCs w:val="22"/>
        </w:rPr>
        <w:t>. En español el término STEAM se traduce a CTIAM por las siglas de Ciencia, Tecnología, Ingeniería, Artes y Matemáticas. El enfoque educativo STEAM  se incorpora y afianza desde hace algunos años. El STEAM es un sistema innovador que busca romper las barreras que han sido impuestas por la educación tradicional, dando énfasis en los pilares de la ciencia, la tecnología, la ingeniería, el arte y las matemáticas (Red Educa, 2023)</w:t>
      </w:r>
      <w:r>
        <w:rPr>
          <w:rFonts w:ascii="Times New Roman" w:eastAsia="Times New Roman" w:hAnsi="Times New Roman" w:cs="Times New Roman"/>
          <w:sz w:val="22"/>
          <w:szCs w:val="22"/>
          <w:vertAlign w:val="superscript"/>
        </w:rPr>
        <w:footnoteReference w:id="1"/>
      </w:r>
      <w:r>
        <w:rPr>
          <w:rFonts w:ascii="Times New Roman" w:eastAsia="Times New Roman" w:hAnsi="Times New Roman" w:cs="Times New Roman"/>
          <w:sz w:val="22"/>
          <w:szCs w:val="22"/>
        </w:rPr>
        <w:t>.</w:t>
      </w:r>
    </w:p>
    <w:p w14:paraId="6EF1CE4F" w14:textId="77777777" w:rsidR="00A615A6" w:rsidRDefault="00A92D00">
      <w:pPr>
        <w:shd w:val="clear" w:color="auto" w:fill="FFFFFF"/>
        <w:spacing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educación STEAM ha abordado desde hace unos años algunas áreas de estudio que eran propias de la ciencia e ingeniería. Sobre finales de la primera década del 2000, la educación STEAM terminó de encontrar su forma final, al incorporar la educación artística la cual  aporta un panorama más integral para los estudiantes. (Red Educa, 2023)</w:t>
      </w:r>
      <w:r>
        <w:rPr>
          <w:rFonts w:ascii="Times New Roman" w:eastAsia="Times New Roman" w:hAnsi="Times New Roman" w:cs="Times New Roman"/>
          <w:sz w:val="22"/>
          <w:szCs w:val="22"/>
          <w:vertAlign w:val="superscript"/>
        </w:rPr>
        <w:footnoteReference w:id="2"/>
      </w:r>
    </w:p>
    <w:p w14:paraId="4D84AC00"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75C76D37"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lastRenderedPageBreak/>
        <w:t>2.3 Importancia del STEAM</w:t>
      </w:r>
    </w:p>
    <w:p w14:paraId="7EB5C26D"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1DF0BBB9" w14:textId="77777777" w:rsidR="00A615A6" w:rsidRDefault="00A92D00">
      <w:pPr>
        <w:pBdr>
          <w:top w:val="nil"/>
          <w:left w:val="nil"/>
          <w:bottom w:val="nil"/>
          <w:right w:val="nil"/>
          <w:between w:val="nil"/>
        </w:pBdr>
        <w:shd w:val="clear" w:color="auto" w:fill="FFFFFF"/>
        <w:spacing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educación STEAM  desarrolla habilidades interdisciplinarias, estimula el pensamiento crítico y la resolución de problemas, prepara para el mercado laboral a los estudiantes logrando adquirir y aunar conocimientos de ciencia y tecnología. Aprenden con recursos digitales y mediante uso de las TIC, básicos para las profesiones del futuro. Facilita la retención de conceptos gracias a métodos que permiten crear contextos de aprendizaje más memorables y mejorar la capacidad creativa y la comunicación de los estudiantes. Es un nuevo mundo de posibilidades para mejorar la experiencia educativa del alumnado (Innovación y Desarrollo Docente, 2024)</w:t>
      </w:r>
      <w:r>
        <w:rPr>
          <w:rFonts w:ascii="Times New Roman" w:eastAsia="Times New Roman" w:hAnsi="Times New Roman" w:cs="Times New Roman"/>
          <w:sz w:val="22"/>
          <w:szCs w:val="22"/>
          <w:vertAlign w:val="superscript"/>
        </w:rPr>
        <w:footnoteReference w:id="3"/>
      </w:r>
      <w:r>
        <w:rPr>
          <w:rFonts w:ascii="Times New Roman" w:eastAsia="Times New Roman" w:hAnsi="Times New Roman" w:cs="Times New Roman"/>
          <w:sz w:val="22"/>
          <w:szCs w:val="22"/>
        </w:rPr>
        <w:t xml:space="preserve">. </w:t>
      </w:r>
    </w:p>
    <w:p w14:paraId="375E5FE1" w14:textId="77777777" w:rsidR="00A615A6" w:rsidRDefault="00A92D00">
      <w:pPr>
        <w:pBdr>
          <w:top w:val="nil"/>
          <w:left w:val="nil"/>
          <w:bottom w:val="nil"/>
          <w:right w:val="nil"/>
          <w:between w:val="nil"/>
        </w:pBdr>
        <w:shd w:val="clear" w:color="auto" w:fill="FFFFFF"/>
        <w:spacing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Estas afirmaciones previas están soportadas por investigaciones documentales, una de ellas realizada por la revista de Ciencia Digital.  con una  selección  inicial  de  varios artículos,  documentos  y  disertaciones  sobre  educación  STEM,  eligiendo treinta  y  tres  (33) estudios,  de  acuerdo  con  el  encuadre  de  interés  investigativo.  Los  estudios  seleccionados  se sometieron  al  análisis  y  síntesis  en  línea con  las  etapas  de  la  meta síntesis,  con  el  fin  de especificar  y  presentar  hallazgos  en  los  temas  encontrados.  Allí  se  incluyeron  los  estudios alineados  a  los  principios  de  educación  STEM  y  las  investigaciones  de  comparación internacional,  como  PISA/TIMSS, dado  el  impacto  positivo  en  la  educación  STEM  desde  el rendimiento  de  los  estudiantes  en  la  escuela  y  en  sus  actitudes  hacia  las  disciplinas  STEM. Hubo  evidencias  que  apoyan  las  intervenciones  que  siguen  a  este  tipo  de  metodología educativa.  Los  principios  refuerzan  la  resolución  de  problemas  y  la  creatividad  de  los estudiantes (Aguirre, 2019)</w:t>
      </w:r>
      <w:r>
        <w:rPr>
          <w:rFonts w:ascii="Times New Roman" w:eastAsia="Times New Roman" w:hAnsi="Times New Roman" w:cs="Times New Roman"/>
          <w:sz w:val="22"/>
          <w:szCs w:val="22"/>
          <w:vertAlign w:val="superscript"/>
        </w:rPr>
        <w:footnoteReference w:id="4"/>
      </w:r>
    </w:p>
    <w:p w14:paraId="3A911301"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2.4. STEAM internacional </w:t>
      </w:r>
    </w:p>
    <w:p w14:paraId="6A92E627"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20944960"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u w:val="single"/>
        </w:rPr>
        <w:t xml:space="preserve">2.4.1. Desarrollo del STEAM en la historia internacional. </w:t>
      </w:r>
      <w:r>
        <w:rPr>
          <w:rFonts w:ascii="Times New Roman" w:eastAsia="Times New Roman" w:hAnsi="Times New Roman" w:cs="Times New Roman"/>
          <w:sz w:val="22"/>
          <w:szCs w:val="22"/>
        </w:rPr>
        <w:br/>
      </w:r>
    </w:p>
    <w:p w14:paraId="73CFAE3B"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los años 90 el término STEM se caracterizó por ser una perspectiva  política y económica, con el objetivo de dinamizar dichas profesiones partiendo del desarrollo de nuevas políticas educativas</w:t>
      </w:r>
      <w:r>
        <w:rPr>
          <w:rFonts w:ascii="Times New Roman" w:eastAsia="Times New Roman" w:hAnsi="Times New Roman" w:cs="Times New Roman"/>
          <w:sz w:val="22"/>
          <w:szCs w:val="22"/>
          <w:vertAlign w:val="superscript"/>
        </w:rPr>
        <w:footnoteReference w:id="5"/>
      </w:r>
      <w:r>
        <w:rPr>
          <w:rFonts w:ascii="Times New Roman" w:eastAsia="Times New Roman" w:hAnsi="Times New Roman" w:cs="Times New Roman"/>
          <w:sz w:val="22"/>
          <w:szCs w:val="22"/>
        </w:rPr>
        <w:t>. A lo largo de la historia ha variado el acrónimo presentando los siguientes cambios:</w:t>
      </w:r>
    </w:p>
    <w:p w14:paraId="015BFCC8"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6AC46ED6" wp14:editId="0CDD0806">
            <wp:extent cx="5411153" cy="2682609"/>
            <wp:effectExtent l="0" t="0" r="0" b="0"/>
            <wp:docPr id="12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5411153" cy="2682609"/>
                    </a:xfrm>
                    <a:prstGeom prst="rect">
                      <a:avLst/>
                    </a:prstGeom>
                    <a:ln/>
                  </pic:spPr>
                </pic:pic>
              </a:graphicData>
            </a:graphic>
          </wp:inline>
        </w:drawing>
      </w:r>
      <w:r>
        <w:rPr>
          <w:rFonts w:ascii="Times New Roman" w:eastAsia="Times New Roman" w:hAnsi="Times New Roman" w:cs="Times New Roman"/>
          <w:sz w:val="22"/>
          <w:szCs w:val="22"/>
        </w:rPr>
        <w:br/>
        <w:t xml:space="preserve">Figura 1.  Acrónimos del enfoque educativo adaptado de </w:t>
      </w:r>
      <w:proofErr w:type="spellStart"/>
      <w:r>
        <w:rPr>
          <w:rFonts w:ascii="Times New Roman" w:eastAsia="Times New Roman" w:hAnsi="Times New Roman" w:cs="Times New Roman"/>
          <w:sz w:val="22"/>
          <w:szCs w:val="22"/>
        </w:rPr>
        <w:t>Bogdan</w:t>
      </w:r>
      <w:proofErr w:type="spellEnd"/>
      <w:r>
        <w:rPr>
          <w:rFonts w:ascii="Times New Roman" w:eastAsia="Times New Roman" w:hAnsi="Times New Roman" w:cs="Times New Roman"/>
          <w:sz w:val="22"/>
          <w:szCs w:val="22"/>
        </w:rPr>
        <w:t xml:space="preserve"> y García (2021).</w:t>
      </w:r>
      <w:r>
        <w:rPr>
          <w:rFonts w:ascii="Times New Roman" w:eastAsia="Times New Roman" w:hAnsi="Times New Roman" w:cs="Times New Roman"/>
          <w:sz w:val="22"/>
          <w:szCs w:val="22"/>
        </w:rPr>
        <w:br/>
      </w:r>
    </w:p>
    <w:p w14:paraId="40FD3523"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 mediados del año 2008 la autora Georgette </w:t>
      </w:r>
      <w:proofErr w:type="spellStart"/>
      <w:r>
        <w:rPr>
          <w:rFonts w:ascii="Times New Roman" w:eastAsia="Times New Roman" w:hAnsi="Times New Roman" w:cs="Times New Roman"/>
          <w:sz w:val="22"/>
          <w:szCs w:val="22"/>
        </w:rPr>
        <w:t>Yakman</w:t>
      </w:r>
      <w:proofErr w:type="spellEnd"/>
      <w:r>
        <w:rPr>
          <w:rFonts w:ascii="Times New Roman" w:eastAsia="Times New Roman" w:hAnsi="Times New Roman" w:cs="Times New Roman"/>
          <w:sz w:val="22"/>
          <w:szCs w:val="22"/>
        </w:rPr>
        <w:t xml:space="preserve"> involucra al enfoque STEM la A (Arte) generando en el mismo toda una mirada integradora y potencializando la innovación entre las áreas interdisciplinariamente. </w:t>
      </w:r>
    </w:p>
    <w:p w14:paraId="4CEC4732" w14:textId="77777777" w:rsidR="00A615A6" w:rsidRDefault="00A615A6">
      <w:pPr>
        <w:spacing w:line="360" w:lineRule="auto"/>
        <w:ind w:right="-220"/>
        <w:jc w:val="both"/>
        <w:rPr>
          <w:rFonts w:ascii="Times New Roman" w:eastAsia="Times New Roman" w:hAnsi="Times New Roman" w:cs="Times New Roman"/>
          <w:sz w:val="22"/>
          <w:szCs w:val="22"/>
        </w:rPr>
      </w:pPr>
    </w:p>
    <w:p w14:paraId="1F743969"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2.4.2. Inversión y retribución.</w:t>
      </w:r>
    </w:p>
    <w:p w14:paraId="48CB285E" w14:textId="77777777" w:rsidR="00A615A6" w:rsidRDefault="00A615A6">
      <w:pPr>
        <w:spacing w:line="360" w:lineRule="auto"/>
        <w:ind w:right="-220"/>
        <w:jc w:val="both"/>
        <w:rPr>
          <w:rFonts w:ascii="Times New Roman" w:eastAsia="Times New Roman" w:hAnsi="Times New Roman" w:cs="Times New Roman"/>
          <w:sz w:val="22"/>
          <w:szCs w:val="22"/>
        </w:rPr>
      </w:pPr>
    </w:p>
    <w:p w14:paraId="34D872F8" w14:textId="77777777" w:rsidR="00A615A6" w:rsidRDefault="00A92D00">
      <w:pPr>
        <w:pStyle w:val="Ttulo1"/>
        <w:spacing w:before="240" w:after="240" w:line="360" w:lineRule="auto"/>
        <w:ind w:right="-220"/>
        <w:jc w:val="both"/>
        <w:rPr>
          <w:sz w:val="22"/>
          <w:szCs w:val="22"/>
        </w:rPr>
      </w:pPr>
      <w:r>
        <w:rPr>
          <w:sz w:val="22"/>
          <w:szCs w:val="22"/>
        </w:rPr>
        <w:t>La educación STEAM (Ciencia, Tecnología, Ingeniería, Artes y Matemáticas) está impulsando inversiones significativas a nivel mundial, reflejando su creciente relevancia en la formación de habilidades para el siglo XXI. Por ejemplo, en Estados Unidos, las carreras relacionadas con STEM han experimentado un crecimiento del 17%, según el Departamento de Comercio, lo que ha llevado a una mayor inversión en estos campos educativos (Observatorio de Innovación, 2023)</w:t>
      </w:r>
      <w:r>
        <w:rPr>
          <w:sz w:val="22"/>
          <w:szCs w:val="22"/>
          <w:vertAlign w:val="superscript"/>
        </w:rPr>
        <w:footnoteReference w:id="6"/>
      </w:r>
      <w:r>
        <w:rPr>
          <w:sz w:val="22"/>
          <w:szCs w:val="22"/>
        </w:rPr>
        <w:t>. Además, la UNESCO destaca que la educación STEM es crucial para el desarrollo económico, ya que prepara una fuerza laboral calificada y adaptable, esencial en una era donde la tecnología y la innovación son motores económicos fundamentales (</w:t>
      </w:r>
      <w:proofErr w:type="spellStart"/>
      <w:r>
        <w:rPr>
          <w:sz w:val="22"/>
          <w:szCs w:val="22"/>
        </w:rPr>
        <w:t>Xstemla</w:t>
      </w:r>
      <w:proofErr w:type="spellEnd"/>
      <w:r>
        <w:rPr>
          <w:sz w:val="22"/>
          <w:szCs w:val="22"/>
        </w:rPr>
        <w:t>, 2024)</w:t>
      </w:r>
      <w:r>
        <w:rPr>
          <w:sz w:val="22"/>
          <w:szCs w:val="22"/>
          <w:vertAlign w:val="superscript"/>
        </w:rPr>
        <w:footnoteReference w:id="7"/>
      </w:r>
      <w:r>
        <w:rPr>
          <w:sz w:val="22"/>
          <w:szCs w:val="22"/>
        </w:rPr>
        <w:t>. Esta tendencia se refleja también en América Latina, donde países como México están adoptando el enfoque STEAM en sus aulas para fomentar la innovación y el desarrollo tecnológico (</w:t>
      </w:r>
      <w:proofErr w:type="spellStart"/>
      <w:r>
        <w:rPr>
          <w:sz w:val="22"/>
          <w:szCs w:val="22"/>
        </w:rPr>
        <w:t>Gonzalez</w:t>
      </w:r>
      <w:proofErr w:type="spellEnd"/>
      <w:r>
        <w:rPr>
          <w:sz w:val="22"/>
          <w:szCs w:val="22"/>
        </w:rPr>
        <w:t>, 2023)</w:t>
      </w:r>
      <w:r>
        <w:rPr>
          <w:sz w:val="22"/>
          <w:szCs w:val="22"/>
          <w:vertAlign w:val="superscript"/>
        </w:rPr>
        <w:footnoteReference w:id="8"/>
      </w:r>
      <w:r>
        <w:rPr>
          <w:sz w:val="22"/>
          <w:szCs w:val="22"/>
        </w:rPr>
        <w:t>, estas inversiones no solo buscan mejorar el rendimiento académico, sino también impulsar el crecimiento económico y reducir desigualdades, preparando a las nuevas generaciones para los desafíos del futuro.</w:t>
      </w:r>
    </w:p>
    <w:p w14:paraId="6EBF5F3F" w14:textId="77777777" w:rsidR="00A615A6" w:rsidRDefault="00A92D00">
      <w:pPr>
        <w:pStyle w:val="Ttulo1"/>
        <w:spacing w:line="360" w:lineRule="auto"/>
        <w:ind w:right="-220"/>
        <w:jc w:val="both"/>
      </w:pPr>
      <w:bookmarkStart w:id="5" w:name="_heading=h.cnljvwjwbq0z" w:colFirst="0" w:colLast="0"/>
      <w:bookmarkEnd w:id="5"/>
      <w:r>
        <w:rPr>
          <w:sz w:val="22"/>
          <w:szCs w:val="22"/>
        </w:rPr>
        <w:t xml:space="preserve">La Cuarta Revolución Industrial - Tecnológica está generando un fuerte impacto en el mundo laboral y en la forma en que las personas nos relacionamos con la tecnología, por eso es necesario hacer énfasis en la educación STEAM. En 2016, la firma McKinsey estimó que la inteligencia artificial reemplazaría el 5% de los empleos totales del planeta y el 45% de las actividades en los trabajos. Así mismo, según investigaciones del Foro Económico Mundial (2018) el 65% de los trabajos que tendrá la Generación Z aún no existen, y de acuerdo a un estudio generado por </w:t>
      </w:r>
      <w:proofErr w:type="spellStart"/>
      <w:r>
        <w:rPr>
          <w:sz w:val="22"/>
          <w:szCs w:val="22"/>
        </w:rPr>
        <w:t>ManpowerGroup</w:t>
      </w:r>
      <w:proofErr w:type="spellEnd"/>
      <w:r>
        <w:rPr>
          <w:sz w:val="22"/>
          <w:szCs w:val="22"/>
        </w:rPr>
        <w:t xml:space="preserve"> (2020)</w:t>
      </w:r>
      <w:r>
        <w:rPr>
          <w:sz w:val="22"/>
          <w:szCs w:val="22"/>
          <w:vertAlign w:val="superscript"/>
        </w:rPr>
        <w:footnoteReference w:id="9"/>
      </w:r>
      <w:r>
        <w:rPr>
          <w:sz w:val="22"/>
          <w:szCs w:val="22"/>
        </w:rPr>
        <w:t xml:space="preserve"> hoy en día el 54% de los empleadores no encuentran el talento que requieren dada la ausencia de educación en el área (Movimiento STEAM, 2020)</w:t>
      </w:r>
      <w:r>
        <w:rPr>
          <w:sz w:val="22"/>
          <w:szCs w:val="22"/>
          <w:vertAlign w:val="superscript"/>
        </w:rPr>
        <w:footnoteReference w:id="10"/>
      </w:r>
      <w:r>
        <w:rPr>
          <w:sz w:val="22"/>
          <w:szCs w:val="22"/>
        </w:rPr>
        <w:t xml:space="preserve">. </w:t>
      </w:r>
    </w:p>
    <w:p w14:paraId="3EB5D4D8" w14:textId="77777777" w:rsidR="00A615A6" w:rsidRDefault="00A615A6">
      <w:pPr>
        <w:pStyle w:val="Ttulo1"/>
        <w:spacing w:line="360" w:lineRule="auto"/>
        <w:ind w:right="-220"/>
        <w:jc w:val="both"/>
        <w:rPr>
          <w:sz w:val="22"/>
          <w:szCs w:val="22"/>
        </w:rPr>
      </w:pPr>
      <w:bookmarkStart w:id="6" w:name="_heading=h.mi13thioklu2" w:colFirst="0" w:colLast="0"/>
      <w:bookmarkEnd w:id="6"/>
    </w:p>
    <w:p w14:paraId="60B33E1B" w14:textId="77777777" w:rsidR="00A615A6" w:rsidRDefault="00A92D00">
      <w:pPr>
        <w:pStyle w:val="Ttulo1"/>
        <w:spacing w:line="360" w:lineRule="auto"/>
        <w:ind w:right="-220"/>
        <w:jc w:val="both"/>
        <w:rPr>
          <w:sz w:val="22"/>
          <w:szCs w:val="22"/>
        </w:rPr>
      </w:pPr>
      <w:bookmarkStart w:id="7" w:name="_heading=h.lhhxvneyb6tz" w:colFirst="0" w:colLast="0"/>
      <w:bookmarkEnd w:id="7"/>
      <w:r>
        <w:rPr>
          <w:sz w:val="22"/>
          <w:szCs w:val="22"/>
        </w:rPr>
        <w:t xml:space="preserve">El costo de implementar STEAM y/o programas de robótica en un colegio puede variar significativamente según varios factores, como el alcance del programa, los recursos existentes, el tamaño del alumno y los objetivos del proyecto. Para el desarrollo de esta investigación se utilizaron dos materiales específicos: i) Kit de componentes: que incluyen las piezas necesarias para diseñar la estructura del robot, los mecánicos que permiten darle movimiento y la electrónica que facilita la comunicación y el control del robot mediante la programación del mismo; ii) Campo de retos: kit de 32 baldosas cuadradas que permite la creación de un campo de juego de 97 x 49 pulgadas (246 x 124 cm – </w:t>
      </w:r>
      <w:proofErr w:type="spellStart"/>
      <w:r>
        <w:rPr>
          <w:sz w:val="22"/>
          <w:szCs w:val="22"/>
        </w:rPr>
        <w:t>aprox</w:t>
      </w:r>
      <w:proofErr w:type="spellEnd"/>
      <w:r>
        <w:rPr>
          <w:sz w:val="22"/>
          <w:szCs w:val="22"/>
        </w:rPr>
        <w:t xml:space="preserve">), donde los robots se moverán según la programación desarrollada por los alumnos y alumnas para resolver los retos planteados. A continuación, se desglosan los </w:t>
      </w:r>
      <w:proofErr w:type="spellStart"/>
      <w:r>
        <w:rPr>
          <w:sz w:val="22"/>
          <w:szCs w:val="22"/>
        </w:rPr>
        <w:t>elementos.La</w:t>
      </w:r>
      <w:proofErr w:type="spellEnd"/>
      <w:r>
        <w:rPr>
          <w:sz w:val="22"/>
          <w:szCs w:val="22"/>
        </w:rPr>
        <w:t xml:space="preserve"> combinación de estos materiales proporciona una oportunidad divertida, atractiva y práctica, para que los niños y niñas puedan explorar y experimentar por sí mismos, pudiendo dar rienda suelta a su imaginación y creatividad, creando así los robots libremente, con el objetivo de dar respuesta a los retos concretos planteados en el aula (Casado, R. &amp; Checa-Romero, M.,2020)</w:t>
      </w:r>
      <w:r>
        <w:rPr>
          <w:sz w:val="22"/>
          <w:szCs w:val="22"/>
          <w:vertAlign w:val="superscript"/>
        </w:rPr>
        <w:footnoteReference w:id="11"/>
      </w:r>
      <w:r>
        <w:rPr>
          <w:sz w:val="22"/>
          <w:szCs w:val="22"/>
        </w:rPr>
        <w:t>.</w:t>
      </w:r>
    </w:p>
    <w:p w14:paraId="57627144" w14:textId="77777777" w:rsidR="00A615A6" w:rsidRDefault="00A615A6">
      <w:pPr>
        <w:ind w:right="-220"/>
      </w:pPr>
    </w:p>
    <w:p w14:paraId="76A02746"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790FA602"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2.4.3. Participación de mujeres.</w:t>
      </w:r>
    </w:p>
    <w:p w14:paraId="6860850C" w14:textId="77777777" w:rsidR="00A615A6" w:rsidRDefault="00A615A6">
      <w:pPr>
        <w:spacing w:line="360" w:lineRule="auto"/>
        <w:ind w:right="-220"/>
        <w:jc w:val="both"/>
        <w:rPr>
          <w:rFonts w:ascii="Times New Roman" w:eastAsia="Times New Roman" w:hAnsi="Times New Roman" w:cs="Times New Roman"/>
          <w:sz w:val="22"/>
          <w:szCs w:val="22"/>
        </w:rPr>
      </w:pPr>
    </w:p>
    <w:p w14:paraId="59DD13F8"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acceso de las mujeres a carreras STEM (Ciencia, Tecnología, Ingeniería y Matemáticas) sigue enfrentando barreras significativas en el mundo. Según la UNESCO, solo el 35% de los estudiantes en estas áreas son mujeres, y menos del 30% de los investigadores científicos son mujeres. Aunque América Latina y el Caribe han logrado una relativa paridad con un 45% de investigadoras, estas siguen siendo minoría en niveles profesionales altos y en campos específicos, como la ingeniería o las ciencias de la computación, donde en México apenas hay 31 mujeres matriculadas por cada 100 hombres. Factores como tradiciones socioculturales y desigualdades estructurales limitan su participación desde edades tempranas, perpetuando brechas de género que reducen las oportunidades de innovación y diversidad en las soluciones científicas. En este contexto, María del Pilar Carreón Castro, Jefa del Departamento de Química en el Instituto de Ciencias Nucleares de la UNAM, enfatiza la necesidad de romper tradiciones que impiden a las niñas estudiar lo que deseen y destaca la importancia de visibilizar los aportes femeninos en STEM para construir un futuro igualitario (ONU, 2022)</w:t>
      </w:r>
      <w:r>
        <w:rPr>
          <w:rFonts w:ascii="Times New Roman" w:eastAsia="Times New Roman" w:hAnsi="Times New Roman" w:cs="Times New Roman"/>
          <w:sz w:val="22"/>
          <w:szCs w:val="22"/>
          <w:vertAlign w:val="superscript"/>
        </w:rPr>
        <w:footnoteReference w:id="12"/>
      </w:r>
    </w:p>
    <w:p w14:paraId="1153FF8B"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la actualidad como lo describe (García et al,2023)</w:t>
      </w:r>
      <w:r>
        <w:rPr>
          <w:rFonts w:ascii="Times New Roman" w:eastAsia="Times New Roman" w:hAnsi="Times New Roman" w:cs="Times New Roman"/>
          <w:sz w:val="22"/>
          <w:szCs w:val="22"/>
          <w:vertAlign w:val="superscript"/>
        </w:rPr>
        <w:footnoteReference w:id="13"/>
      </w:r>
      <w:r>
        <w:rPr>
          <w:rFonts w:ascii="Times New Roman" w:eastAsia="Times New Roman" w:hAnsi="Times New Roman" w:cs="Times New Roman"/>
          <w:sz w:val="22"/>
          <w:szCs w:val="22"/>
        </w:rPr>
        <w:t xml:space="preserve"> el enfoque de mujeres en STEAM está en el interés de la Unión Europea promovido a partir de proyectos tales como </w:t>
      </w:r>
      <w:proofErr w:type="spellStart"/>
      <w:r>
        <w:rPr>
          <w:rFonts w:ascii="Times New Roman" w:eastAsia="Times New Roman" w:hAnsi="Times New Roman" w:cs="Times New Roman"/>
          <w:sz w:val="22"/>
          <w:szCs w:val="22"/>
        </w:rPr>
        <w:t>Scientix</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Greenpower</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Inspiring</w:t>
      </w:r>
      <w:proofErr w:type="spellEnd"/>
      <w:r>
        <w:rPr>
          <w:rFonts w:ascii="Times New Roman" w:eastAsia="Times New Roman" w:hAnsi="Times New Roman" w:cs="Times New Roman"/>
          <w:sz w:val="22"/>
          <w:szCs w:val="22"/>
        </w:rPr>
        <w:t xml:space="preserve"> entre otros, incentivando la divulgación científica, que no sólo fomentan las vocaciones científico-tecnológicas, sino que visibilizan y potencian el papel de la mujer en las mismas. El Ministerio de Educación y Formación Profesional español recoge como uno de los desafíos del sistema educativo para la Agenda 2030, la necesidad del desarrollo de las Vocaciones STEAM, especialmente entre las chicas, un dato que refuerza el gran impacto de este enfoque en el presente y para el futuro.</w:t>
      </w:r>
    </w:p>
    <w:p w14:paraId="5E7F20EE" w14:textId="77777777" w:rsidR="00A615A6" w:rsidRDefault="00A615A6">
      <w:pPr>
        <w:spacing w:line="360" w:lineRule="auto"/>
        <w:ind w:right="-220"/>
        <w:jc w:val="both"/>
        <w:rPr>
          <w:rFonts w:ascii="Times New Roman" w:eastAsia="Times New Roman" w:hAnsi="Times New Roman" w:cs="Times New Roman"/>
          <w:sz w:val="22"/>
          <w:szCs w:val="22"/>
          <w:highlight w:val="yellow"/>
        </w:rPr>
      </w:pPr>
    </w:p>
    <w:p w14:paraId="4E1F3575"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2.4.4. Habilidades STEAM desde la infancia, juventud y adolescencia</w:t>
      </w:r>
    </w:p>
    <w:p w14:paraId="1E52B208" w14:textId="77777777" w:rsidR="00A615A6" w:rsidRDefault="00A615A6">
      <w:pPr>
        <w:spacing w:line="360" w:lineRule="auto"/>
        <w:ind w:right="-220"/>
        <w:jc w:val="both"/>
        <w:rPr>
          <w:rFonts w:ascii="Times New Roman" w:eastAsia="Times New Roman" w:hAnsi="Times New Roman" w:cs="Times New Roman"/>
          <w:sz w:val="22"/>
          <w:szCs w:val="22"/>
        </w:rPr>
      </w:pPr>
    </w:p>
    <w:p w14:paraId="65849F4A"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La participación de la infancia, juventud y adolescencia en las disciplinas del STEAM es fundamental para su desarrollo integral. Las estrategias didácticas hacen referencia a la organización y la planificación de los espacios, materiales, tiempos, entre otros. Las siguientes son estrategias de aprendizaje en un proceso STEM/STEAM :Aprendizaje basado en </w:t>
      </w:r>
      <w:proofErr w:type="spellStart"/>
      <w:r>
        <w:rPr>
          <w:rFonts w:ascii="Times New Roman" w:eastAsia="Times New Roman" w:hAnsi="Times New Roman" w:cs="Times New Roman"/>
          <w:sz w:val="22"/>
          <w:szCs w:val="22"/>
        </w:rPr>
        <w:t>problemas,Aprendizaje</w:t>
      </w:r>
      <w:proofErr w:type="spellEnd"/>
      <w:r>
        <w:rPr>
          <w:rFonts w:ascii="Times New Roman" w:eastAsia="Times New Roman" w:hAnsi="Times New Roman" w:cs="Times New Roman"/>
          <w:sz w:val="22"/>
          <w:szCs w:val="22"/>
        </w:rPr>
        <w:t xml:space="preserve"> basado en retos, Aprendizaje basado en proyectos, Aprendizaje basado en indagación, Aprendizaje basado en el juego, Pensamiento de </w:t>
      </w:r>
      <w:proofErr w:type="spellStart"/>
      <w:r>
        <w:rPr>
          <w:rFonts w:ascii="Times New Roman" w:eastAsia="Times New Roman" w:hAnsi="Times New Roman" w:cs="Times New Roman"/>
          <w:sz w:val="22"/>
          <w:szCs w:val="22"/>
        </w:rPr>
        <w:t>diseño,Diseño</w:t>
      </w:r>
      <w:proofErr w:type="spellEnd"/>
      <w:r>
        <w:rPr>
          <w:rFonts w:ascii="Times New Roman" w:eastAsia="Times New Roman" w:hAnsi="Times New Roman" w:cs="Times New Roman"/>
          <w:sz w:val="22"/>
          <w:szCs w:val="22"/>
        </w:rPr>
        <w:t xml:space="preserve"> de ingeniería (</w:t>
      </w:r>
      <w:proofErr w:type="spellStart"/>
      <w:r>
        <w:rPr>
          <w:rFonts w:ascii="Times New Roman" w:eastAsia="Times New Roman" w:hAnsi="Times New Roman" w:cs="Times New Roman"/>
          <w:sz w:val="22"/>
          <w:szCs w:val="22"/>
        </w:rPr>
        <w:t>Latin</w:t>
      </w:r>
      <w:proofErr w:type="spellEnd"/>
      <w:r>
        <w:rPr>
          <w:rFonts w:ascii="Times New Roman" w:eastAsia="Times New Roman" w:hAnsi="Times New Roman" w:cs="Times New Roman"/>
          <w:sz w:val="22"/>
          <w:szCs w:val="22"/>
        </w:rPr>
        <w:t xml:space="preserve"> American </w:t>
      </w:r>
      <w:proofErr w:type="spellStart"/>
      <w:r>
        <w:rPr>
          <w:rFonts w:ascii="Times New Roman" w:eastAsia="Times New Roman" w:hAnsi="Times New Roman" w:cs="Times New Roman"/>
          <w:sz w:val="22"/>
          <w:szCs w:val="22"/>
        </w:rPr>
        <w:t>Journal</w:t>
      </w:r>
      <w:proofErr w:type="spellEnd"/>
      <w:r>
        <w:rPr>
          <w:rFonts w:ascii="Times New Roman" w:eastAsia="Times New Roman" w:hAnsi="Times New Roman" w:cs="Times New Roman"/>
          <w:sz w:val="22"/>
          <w:szCs w:val="22"/>
        </w:rPr>
        <w:t xml:space="preserve"> of </w:t>
      </w:r>
      <w:proofErr w:type="spellStart"/>
      <w:r>
        <w:rPr>
          <w:rFonts w:ascii="Times New Roman" w:eastAsia="Times New Roman" w:hAnsi="Times New Roman" w:cs="Times New Roman"/>
          <w:sz w:val="22"/>
          <w:szCs w:val="22"/>
        </w:rPr>
        <w:t>Science</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Education</w:t>
      </w:r>
      <w:proofErr w:type="spellEnd"/>
      <w:r>
        <w:rPr>
          <w:rFonts w:ascii="Times New Roman" w:eastAsia="Times New Roman" w:hAnsi="Times New Roman" w:cs="Times New Roman"/>
          <w:sz w:val="22"/>
          <w:szCs w:val="22"/>
        </w:rPr>
        <w:t>, 2020)</w:t>
      </w:r>
      <w:r>
        <w:rPr>
          <w:rFonts w:ascii="Times New Roman" w:eastAsia="Times New Roman" w:hAnsi="Times New Roman" w:cs="Times New Roman"/>
          <w:sz w:val="22"/>
          <w:szCs w:val="22"/>
          <w:vertAlign w:val="superscript"/>
        </w:rPr>
        <w:footnoteReference w:id="14"/>
      </w:r>
      <w:r>
        <w:rPr>
          <w:rFonts w:ascii="Times New Roman" w:eastAsia="Times New Roman" w:hAnsi="Times New Roman" w:cs="Times New Roman"/>
          <w:sz w:val="22"/>
          <w:szCs w:val="22"/>
        </w:rPr>
        <w:t>. Así mismo desarrolla una serie de habilidades descritas a continuación:</w:t>
      </w:r>
    </w:p>
    <w:p w14:paraId="2BDFD78A" w14:textId="77777777" w:rsidR="00A615A6" w:rsidRDefault="00A615A6">
      <w:pPr>
        <w:spacing w:line="360" w:lineRule="auto"/>
        <w:ind w:right="-220"/>
        <w:jc w:val="both"/>
        <w:rPr>
          <w:rFonts w:ascii="Times New Roman" w:eastAsia="Times New Roman" w:hAnsi="Times New Roman" w:cs="Times New Roman"/>
          <w:sz w:val="22"/>
          <w:szCs w:val="22"/>
        </w:rPr>
      </w:pPr>
    </w:p>
    <w:p w14:paraId="455C9410" w14:textId="77777777" w:rsidR="00A615A6" w:rsidRDefault="00A92D00">
      <w:pPr>
        <w:numPr>
          <w:ilvl w:val="0"/>
          <w:numId w:val="1"/>
        </w:num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Estimulación del pensamiento crítico y creativo: Las habilidades STEAM fomentan el pensamiento crítico y creativo, permitiendo al alumnado desarrollar soluciones innovadoras para sus problemas. La creatividad les ayuda a pensar más allá de lo convencional y abordar los problemas de manera única.</w:t>
      </w:r>
    </w:p>
    <w:p w14:paraId="0BA8F5DE" w14:textId="77777777" w:rsidR="00A615A6" w:rsidRDefault="00A92D00">
      <w:pPr>
        <w:numPr>
          <w:ilvl w:val="0"/>
          <w:numId w:val="1"/>
        </w:num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Preparación para el futuro </w:t>
      </w:r>
      <w:proofErr w:type="spellStart"/>
      <w:r>
        <w:rPr>
          <w:rFonts w:ascii="Times New Roman" w:eastAsia="Times New Roman" w:hAnsi="Times New Roman" w:cs="Times New Roman"/>
          <w:sz w:val="22"/>
          <w:szCs w:val="22"/>
        </w:rPr>
        <w:t>laboral:Actualmente</w:t>
      </w:r>
      <w:proofErr w:type="spellEnd"/>
      <w:r>
        <w:rPr>
          <w:rFonts w:ascii="Times New Roman" w:eastAsia="Times New Roman" w:hAnsi="Times New Roman" w:cs="Times New Roman"/>
          <w:sz w:val="22"/>
          <w:szCs w:val="22"/>
        </w:rPr>
        <w:t>, estas habilidades están en alta demanda en el mundo laboral y se espera que esta demanda siga creciendo en el futuro. Los alumnos y alumnas que desarrollan habilidades STEAM estarán mejor preparados/as para acceder a trabajos bien remunerados y estables.</w:t>
      </w:r>
    </w:p>
    <w:p w14:paraId="6BED0722" w14:textId="77777777" w:rsidR="00A615A6" w:rsidRDefault="003E1832">
      <w:pPr>
        <w:numPr>
          <w:ilvl w:val="0"/>
          <w:numId w:val="1"/>
        </w:numPr>
        <w:spacing w:line="360" w:lineRule="auto"/>
        <w:ind w:right="-220"/>
        <w:jc w:val="both"/>
        <w:rPr>
          <w:rFonts w:ascii="Times New Roman" w:eastAsia="Times New Roman" w:hAnsi="Times New Roman" w:cs="Times New Roman"/>
          <w:sz w:val="22"/>
          <w:szCs w:val="22"/>
        </w:rPr>
      </w:pPr>
      <w:hyperlink r:id="rId10">
        <w:r w:rsidR="00A92D00">
          <w:rPr>
            <w:rFonts w:ascii="Times New Roman" w:eastAsia="Times New Roman" w:hAnsi="Times New Roman" w:cs="Times New Roman"/>
            <w:sz w:val="22"/>
            <w:szCs w:val="22"/>
            <w:highlight w:val="white"/>
          </w:rPr>
          <w:t xml:space="preserve">Las </w:t>
        </w:r>
      </w:hyperlink>
      <w:hyperlink r:id="rId11">
        <w:r w:rsidR="00A92D00">
          <w:rPr>
            <w:rFonts w:ascii="Times New Roman" w:eastAsia="Times New Roman" w:hAnsi="Times New Roman" w:cs="Times New Roman"/>
            <w:b/>
            <w:sz w:val="22"/>
            <w:szCs w:val="22"/>
            <w:highlight w:val="white"/>
          </w:rPr>
          <w:t>capacidades blandas STEAM</w:t>
        </w:r>
      </w:hyperlink>
      <w:hyperlink r:id="rId12">
        <w:r w:rsidR="00A92D00">
          <w:rPr>
            <w:rFonts w:ascii="Times New Roman" w:eastAsia="Times New Roman" w:hAnsi="Times New Roman" w:cs="Times New Roman"/>
            <w:sz w:val="22"/>
            <w:szCs w:val="22"/>
            <w:highlight w:val="white"/>
          </w:rPr>
          <w:t xml:space="preserve"> incluyen la capacidad de resolver problemas, pensamiento crítico, creatividad, capacidad de análisis y habilidades en tecnología de la información</w:t>
        </w:r>
      </w:hyperlink>
      <w:r w:rsidR="00A92D00">
        <w:rPr>
          <w:rFonts w:ascii="Times New Roman" w:eastAsia="Times New Roman" w:hAnsi="Times New Roman" w:cs="Times New Roman"/>
          <w:sz w:val="22"/>
          <w:szCs w:val="22"/>
        </w:rPr>
        <w:t>.</w:t>
      </w:r>
    </w:p>
    <w:p w14:paraId="7F379A1C" w14:textId="77777777" w:rsidR="00A615A6" w:rsidRDefault="00A615A6">
      <w:pPr>
        <w:spacing w:line="360" w:lineRule="auto"/>
        <w:ind w:right="-220"/>
        <w:jc w:val="both"/>
        <w:rPr>
          <w:rFonts w:ascii="Times New Roman" w:eastAsia="Times New Roman" w:hAnsi="Times New Roman" w:cs="Times New Roman"/>
          <w:sz w:val="22"/>
          <w:szCs w:val="22"/>
        </w:rPr>
      </w:pPr>
    </w:p>
    <w:p w14:paraId="132020A1"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2.4.5. </w:t>
      </w:r>
      <w:proofErr w:type="spellStart"/>
      <w:r>
        <w:rPr>
          <w:rFonts w:ascii="Times New Roman" w:eastAsia="Times New Roman" w:hAnsi="Times New Roman" w:cs="Times New Roman"/>
          <w:b/>
          <w:sz w:val="22"/>
          <w:szCs w:val="22"/>
          <w:u w:val="single"/>
        </w:rPr>
        <w:t>Steam</w:t>
      </w:r>
      <w:proofErr w:type="spellEnd"/>
      <w:r>
        <w:rPr>
          <w:rFonts w:ascii="Times New Roman" w:eastAsia="Times New Roman" w:hAnsi="Times New Roman" w:cs="Times New Roman"/>
          <w:b/>
          <w:sz w:val="22"/>
          <w:szCs w:val="22"/>
          <w:u w:val="single"/>
        </w:rPr>
        <w:t xml:space="preserve"> en ruralidad </w:t>
      </w:r>
    </w:p>
    <w:p w14:paraId="52908F16" w14:textId="77777777" w:rsidR="00A615A6" w:rsidRDefault="00A615A6">
      <w:pPr>
        <w:spacing w:line="360" w:lineRule="auto"/>
        <w:ind w:right="-220"/>
        <w:jc w:val="both"/>
        <w:rPr>
          <w:rFonts w:ascii="Times New Roman" w:eastAsia="Times New Roman" w:hAnsi="Times New Roman" w:cs="Times New Roman"/>
          <w:sz w:val="22"/>
          <w:szCs w:val="22"/>
        </w:rPr>
      </w:pPr>
    </w:p>
    <w:p w14:paraId="0ECE2D97"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Al realizar una revisión de la literatura en JCR (</w:t>
      </w:r>
      <w:proofErr w:type="spellStart"/>
      <w:r>
        <w:rPr>
          <w:rFonts w:ascii="Times New Roman" w:eastAsia="Times New Roman" w:hAnsi="Times New Roman" w:cs="Times New Roman"/>
          <w:sz w:val="22"/>
          <w:szCs w:val="22"/>
        </w:rPr>
        <w:t>Journal</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Citation</w:t>
      </w:r>
      <w:proofErr w:type="spellEnd"/>
      <w:r>
        <w:rPr>
          <w:rFonts w:ascii="Times New Roman" w:eastAsia="Times New Roman" w:hAnsi="Times New Roman" w:cs="Times New Roman"/>
          <w:sz w:val="22"/>
          <w:szCs w:val="22"/>
        </w:rPr>
        <w:t xml:space="preserve"> Reports,2020)</w:t>
      </w:r>
      <w:r>
        <w:rPr>
          <w:rFonts w:ascii="Times New Roman" w:eastAsia="Times New Roman" w:hAnsi="Times New Roman" w:cs="Times New Roman"/>
          <w:sz w:val="22"/>
          <w:szCs w:val="22"/>
          <w:vertAlign w:val="superscript"/>
        </w:rPr>
        <w:footnoteReference w:id="15"/>
      </w:r>
      <w:r>
        <w:rPr>
          <w:rFonts w:ascii="Times New Roman" w:eastAsia="Times New Roman" w:hAnsi="Times New Roman" w:cs="Times New Roman"/>
          <w:sz w:val="22"/>
          <w:szCs w:val="22"/>
        </w:rPr>
        <w:t xml:space="preserve">, se encuentra que las aportaciones STEM-STEAM en el ámbito rural son escasas y que, si bien datan de 2007, han tenido su mayor crecimiento a partir de 2020. A pesar de ello, todavía son incipientes y, aún más, en el contexto iberoamericano. El análisis bibliométrico realizado a través de </w:t>
      </w:r>
      <w:proofErr w:type="spellStart"/>
      <w:r>
        <w:rPr>
          <w:rFonts w:ascii="Times New Roman" w:eastAsia="Times New Roman" w:hAnsi="Times New Roman" w:cs="Times New Roman"/>
          <w:sz w:val="22"/>
          <w:szCs w:val="22"/>
        </w:rPr>
        <w:t>Biblioshiny</w:t>
      </w:r>
      <w:proofErr w:type="spellEnd"/>
      <w:r>
        <w:rPr>
          <w:rFonts w:ascii="Times New Roman" w:eastAsia="Times New Roman" w:hAnsi="Times New Roman" w:cs="Times New Roman"/>
          <w:sz w:val="22"/>
          <w:szCs w:val="22"/>
        </w:rPr>
        <w:t xml:space="preserve"> (Aria, &amp; </w:t>
      </w:r>
      <w:proofErr w:type="spellStart"/>
      <w:r>
        <w:rPr>
          <w:rFonts w:ascii="Times New Roman" w:eastAsia="Times New Roman" w:hAnsi="Times New Roman" w:cs="Times New Roman"/>
          <w:sz w:val="22"/>
          <w:szCs w:val="22"/>
        </w:rPr>
        <w:t>Cuccurullo</w:t>
      </w:r>
      <w:proofErr w:type="spellEnd"/>
      <w:r>
        <w:rPr>
          <w:rFonts w:ascii="Times New Roman" w:eastAsia="Times New Roman" w:hAnsi="Times New Roman" w:cs="Times New Roman"/>
          <w:sz w:val="22"/>
          <w:szCs w:val="22"/>
        </w:rPr>
        <w:t>, 2017)</w:t>
      </w:r>
      <w:r>
        <w:rPr>
          <w:rFonts w:ascii="Times New Roman" w:eastAsia="Times New Roman" w:hAnsi="Times New Roman" w:cs="Times New Roman"/>
          <w:sz w:val="22"/>
          <w:szCs w:val="22"/>
          <w:vertAlign w:val="superscript"/>
        </w:rPr>
        <w:footnoteReference w:id="16"/>
      </w:r>
      <w:r>
        <w:rPr>
          <w:rFonts w:ascii="Times New Roman" w:eastAsia="Times New Roman" w:hAnsi="Times New Roman" w:cs="Times New Roman"/>
          <w:sz w:val="22"/>
          <w:szCs w:val="22"/>
        </w:rPr>
        <w:t xml:space="preserve"> evidencia que solo Brasil sobresale con 14 aportaciones; el resto de los países aún está en niveles muy inferiores con menos de cinco publicaciones, lo cual se presenta como una diferencia abismal en contraste con las 319 de Estados Unidos, tal como se aprecia en la figura:</w:t>
      </w:r>
    </w:p>
    <w:p w14:paraId="16B7B13B"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16898076" wp14:editId="3411DDC6">
            <wp:extent cx="4057982" cy="3029082"/>
            <wp:effectExtent l="0" t="0" r="0" b="0"/>
            <wp:docPr id="1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4057982" cy="3029082"/>
                    </a:xfrm>
                    <a:prstGeom prst="rect">
                      <a:avLst/>
                    </a:prstGeom>
                    <a:ln/>
                  </pic:spPr>
                </pic:pic>
              </a:graphicData>
            </a:graphic>
          </wp:inline>
        </w:drawing>
      </w:r>
    </w:p>
    <w:p w14:paraId="2016E0D4"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Figura 1. Producción Científica en STEAM rural por países.</w:t>
      </w:r>
    </w:p>
    <w:p w14:paraId="28BBE7EE" w14:textId="77777777" w:rsidR="00A615A6" w:rsidRDefault="00A615A6">
      <w:pPr>
        <w:spacing w:line="360" w:lineRule="auto"/>
        <w:ind w:right="-220"/>
        <w:jc w:val="both"/>
        <w:rPr>
          <w:rFonts w:ascii="Times New Roman" w:eastAsia="Times New Roman" w:hAnsi="Times New Roman" w:cs="Times New Roman"/>
          <w:sz w:val="22"/>
          <w:szCs w:val="22"/>
        </w:rPr>
      </w:pPr>
    </w:p>
    <w:p w14:paraId="4BBD50CE"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Más allá de las recientes publicaciones que vinculan STEAM al ámbito rural, al profundizar en cuántas de ellas están orientadas en experiencias escolares, docentes o de percepciones sobre STEM o STEAM en contexto rural, el número decrece considerablemente. Lo anterior indica la necesidad de avanzar tanto en la investigación, como en el diseño y divulgación de experiencias de aulas STEAM, que consideren el contexto rural como una oportunidad de aprendizaje interdisciplinar para la sostenibilidad. Una de las pocas investigaciones que integra la sostenibilidad al enfoque STEAM en contexto rural sostiene que el entorno rural ofrece un sinfín de oportunidades de aprendizaje, tanto en la educación formal como informal (</w:t>
      </w:r>
      <w:proofErr w:type="spellStart"/>
      <w:r>
        <w:rPr>
          <w:rFonts w:ascii="Times New Roman" w:eastAsia="Times New Roman" w:hAnsi="Times New Roman" w:cs="Times New Roman"/>
          <w:sz w:val="22"/>
          <w:szCs w:val="22"/>
        </w:rPr>
        <w:t>Gavari-Starkie</w:t>
      </w:r>
      <w:proofErr w:type="spellEnd"/>
      <w:r>
        <w:rPr>
          <w:rFonts w:ascii="Times New Roman" w:eastAsia="Times New Roman" w:hAnsi="Times New Roman" w:cs="Times New Roman"/>
          <w:sz w:val="22"/>
          <w:szCs w:val="22"/>
        </w:rPr>
        <w:t xml:space="preserve"> et al., 2022)</w:t>
      </w:r>
      <w:r>
        <w:rPr>
          <w:rFonts w:ascii="Times New Roman" w:eastAsia="Times New Roman" w:hAnsi="Times New Roman" w:cs="Times New Roman"/>
          <w:sz w:val="22"/>
          <w:szCs w:val="22"/>
          <w:vertAlign w:val="superscript"/>
        </w:rPr>
        <w:footnoteReference w:id="17"/>
      </w:r>
      <w:r>
        <w:rPr>
          <w:rFonts w:ascii="Times New Roman" w:eastAsia="Times New Roman" w:hAnsi="Times New Roman" w:cs="Times New Roman"/>
          <w:sz w:val="22"/>
          <w:szCs w:val="22"/>
        </w:rPr>
        <w:t>.</w:t>
      </w:r>
    </w:p>
    <w:p w14:paraId="38D1C348" w14:textId="77777777" w:rsidR="00A615A6" w:rsidRDefault="00A615A6">
      <w:pPr>
        <w:spacing w:line="360" w:lineRule="auto"/>
        <w:ind w:right="-220"/>
        <w:jc w:val="both"/>
        <w:rPr>
          <w:rFonts w:ascii="Times New Roman" w:eastAsia="Times New Roman" w:hAnsi="Times New Roman" w:cs="Times New Roman"/>
          <w:sz w:val="22"/>
          <w:szCs w:val="22"/>
        </w:rPr>
      </w:pPr>
    </w:p>
    <w:p w14:paraId="623D6FD4"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2.4.6. </w:t>
      </w:r>
      <w:proofErr w:type="spellStart"/>
      <w:r>
        <w:rPr>
          <w:rFonts w:ascii="Times New Roman" w:eastAsia="Times New Roman" w:hAnsi="Times New Roman" w:cs="Times New Roman"/>
          <w:b/>
          <w:sz w:val="22"/>
          <w:szCs w:val="22"/>
          <w:u w:val="single"/>
        </w:rPr>
        <w:t>Steam</w:t>
      </w:r>
      <w:proofErr w:type="spellEnd"/>
      <w:r>
        <w:rPr>
          <w:rFonts w:ascii="Times New Roman" w:eastAsia="Times New Roman" w:hAnsi="Times New Roman" w:cs="Times New Roman"/>
          <w:b/>
          <w:sz w:val="22"/>
          <w:szCs w:val="22"/>
          <w:u w:val="single"/>
        </w:rPr>
        <w:t xml:space="preserve"> comunidades vulnerables</w:t>
      </w:r>
    </w:p>
    <w:p w14:paraId="69F80D93" w14:textId="77777777" w:rsidR="00A615A6" w:rsidRDefault="00A615A6">
      <w:pPr>
        <w:spacing w:line="360" w:lineRule="auto"/>
        <w:ind w:right="-220"/>
        <w:jc w:val="both"/>
        <w:rPr>
          <w:rFonts w:ascii="Times New Roman" w:eastAsia="Times New Roman" w:hAnsi="Times New Roman" w:cs="Times New Roman"/>
          <w:sz w:val="22"/>
          <w:szCs w:val="22"/>
        </w:rPr>
      </w:pPr>
    </w:p>
    <w:p w14:paraId="6C2DC061"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Por otra parte, el (BID,2021)</w:t>
      </w:r>
      <w:r>
        <w:rPr>
          <w:rFonts w:ascii="Times New Roman" w:eastAsia="Times New Roman" w:hAnsi="Times New Roman" w:cs="Times New Roman"/>
          <w:sz w:val="22"/>
          <w:szCs w:val="22"/>
          <w:vertAlign w:val="superscript"/>
        </w:rPr>
        <w:footnoteReference w:id="18"/>
      </w:r>
      <w:r>
        <w:rPr>
          <w:rFonts w:ascii="Times New Roman" w:eastAsia="Times New Roman" w:hAnsi="Times New Roman" w:cs="Times New Roman"/>
          <w:sz w:val="22"/>
          <w:szCs w:val="22"/>
        </w:rPr>
        <w:t xml:space="preserve"> muestra la enorme inequidad existente en Latinoamérica (coeficiente de Gini de 0,46 en promedio), que la hace más vulnerable ante las disrupciones tecnológicas. Contrarrestar esto requiere políticas públicas que coadyuven a desarrollar las competencias requeridas para que los ciudadanos puedan acceder a los 133 millones de empleos que van a crearse en las economías desarrolladas (WEFORUM, 2018)</w:t>
      </w:r>
      <w:r>
        <w:rPr>
          <w:rFonts w:ascii="Times New Roman" w:eastAsia="Times New Roman" w:hAnsi="Times New Roman" w:cs="Times New Roman"/>
          <w:sz w:val="22"/>
          <w:szCs w:val="22"/>
          <w:vertAlign w:val="superscript"/>
        </w:rPr>
        <w:footnoteReference w:id="19"/>
      </w:r>
      <w:r>
        <w:rPr>
          <w:rFonts w:ascii="Times New Roman" w:eastAsia="Times New Roman" w:hAnsi="Times New Roman" w:cs="Times New Roman"/>
          <w:sz w:val="22"/>
          <w:szCs w:val="22"/>
        </w:rPr>
        <w:t xml:space="preserve">. </w:t>
      </w:r>
    </w:p>
    <w:p w14:paraId="323A2C5F" w14:textId="77777777" w:rsidR="00A615A6" w:rsidRDefault="00A615A6">
      <w:pPr>
        <w:spacing w:line="360" w:lineRule="auto"/>
        <w:ind w:right="-220"/>
        <w:jc w:val="both"/>
        <w:rPr>
          <w:rFonts w:ascii="Times New Roman" w:eastAsia="Times New Roman" w:hAnsi="Times New Roman" w:cs="Times New Roman"/>
          <w:sz w:val="22"/>
          <w:szCs w:val="22"/>
        </w:rPr>
      </w:pPr>
    </w:p>
    <w:p w14:paraId="7CC4F7F9"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La realidad guatemalteca, similar a la de muchas culturas y países latinoamericanos, presenta desafíos para los jóvenes, en particular, los desafíos son aún mayores. La mayoría (74.49%) no está inscrita en la escuela secundaria por lo que son vulnerables,  y presa fácil de maras o </w:t>
      </w:r>
      <w:r>
        <w:rPr>
          <w:rFonts w:ascii="Times New Roman" w:eastAsia="Times New Roman" w:hAnsi="Times New Roman" w:cs="Times New Roman"/>
          <w:b/>
          <w:sz w:val="22"/>
          <w:szCs w:val="22"/>
        </w:rPr>
        <w:t>grupos delictivos.</w:t>
      </w:r>
      <w:r>
        <w:rPr>
          <w:rFonts w:ascii="Times New Roman" w:eastAsia="Times New Roman" w:hAnsi="Times New Roman" w:cs="Times New Roman"/>
          <w:sz w:val="22"/>
          <w:szCs w:val="22"/>
        </w:rPr>
        <w:t xml:space="preserve"> Muchos realizan labores para obtener ingresos, pero como tienen menos de 7 años de escolaridad, consiguen trabajos mal remunerados y muy duros. Sin habilidades de estudio, se enfrentan a no poder desarrollarse de forma autónoma. Su nivel de lectura es muy bajo. Hay muchas madres solas y los jóvenes padres abandonan a sus hijos en manos de ellas. La oferta, tanto de instituciones públicas como de instituciones privadas con secundaria, es pobre. Pobre en cantidad y pobre en calidad. La mayoría es urbana, en español, con docentes sin especialización, anticuada y descontextualizada, con pocos materiales y recursos en general y, menos, en tecnología o acceso a internet. Sus horarios son rígidos y enfocados a que se cubran contenidos que los jóvenes no ven como útiles para su realidad cotidiana.</w:t>
      </w:r>
    </w:p>
    <w:p w14:paraId="2B6A05E4" w14:textId="77777777" w:rsidR="00A615A6" w:rsidRDefault="00A615A6">
      <w:pPr>
        <w:spacing w:line="360" w:lineRule="auto"/>
        <w:ind w:right="-220"/>
        <w:jc w:val="both"/>
        <w:rPr>
          <w:rFonts w:ascii="Times New Roman" w:eastAsia="Times New Roman" w:hAnsi="Times New Roman" w:cs="Times New Roman"/>
          <w:sz w:val="22"/>
          <w:szCs w:val="22"/>
        </w:rPr>
      </w:pPr>
    </w:p>
    <w:p w14:paraId="1D70CE2D"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el departamento de Jalapa, uno de los 22 departamentos de Guatemala, Plan International, organización que apoya el desarrollo integral y la educación, estableció una alianza con Fundación Desarrollo, Educación y Calidad –DECA-, para diseñar e implementar el Programa de Educación Flexible para jóvenes de Jalapa, que inicia en 2021 atendiendo a 1000 jóvenes que no han terminado la secundaria por los motivos ya señalados. con un enfoque STEAM con comics para motivar a los jóvenes en entornos vulnerables</w:t>
      </w:r>
      <w:r>
        <w:rPr>
          <w:rFonts w:ascii="Times New Roman" w:eastAsia="Times New Roman" w:hAnsi="Times New Roman" w:cs="Times New Roman"/>
          <w:sz w:val="22"/>
          <w:szCs w:val="22"/>
          <w:shd w:val="clear" w:color="auto" w:fill="F8F9FA"/>
        </w:rPr>
        <w:t xml:space="preserve">, en ella </w:t>
      </w:r>
      <w:r>
        <w:rPr>
          <w:rFonts w:ascii="Times New Roman" w:eastAsia="Times New Roman" w:hAnsi="Times New Roman" w:cs="Times New Roman"/>
          <w:sz w:val="22"/>
          <w:szCs w:val="22"/>
        </w:rPr>
        <w:t>tuvieron resultados satisfactorios, manifestaciones de alegría y agradecimiento por la oportunidad de estudio, se hace referencia a la buena relación con sus tutores, a paradigmas rotos a todo nivel (“yo creía que no podía”) y el reconocimiento de personajes guatemaltecos, sus vidas y esfuerzos. .(</w:t>
      </w:r>
      <w:r>
        <w:rPr>
          <w:rFonts w:ascii="Times New Roman" w:eastAsia="Times New Roman" w:hAnsi="Times New Roman" w:cs="Times New Roman"/>
          <w:sz w:val="22"/>
          <w:szCs w:val="22"/>
          <w:shd w:val="clear" w:color="auto" w:fill="F8F9FA"/>
        </w:rPr>
        <w:t>Fundación DECA Desarrollo Educación Calidad, 2023)</w:t>
      </w:r>
      <w:r>
        <w:rPr>
          <w:rFonts w:ascii="Times New Roman" w:eastAsia="Times New Roman" w:hAnsi="Times New Roman" w:cs="Times New Roman"/>
          <w:sz w:val="22"/>
          <w:szCs w:val="22"/>
          <w:shd w:val="clear" w:color="auto" w:fill="F8F9FA"/>
          <w:vertAlign w:val="superscript"/>
        </w:rPr>
        <w:footnoteReference w:id="20"/>
      </w:r>
    </w:p>
    <w:p w14:paraId="0BA25FBB" w14:textId="77777777" w:rsidR="00A615A6" w:rsidRDefault="00A615A6">
      <w:pPr>
        <w:spacing w:line="360" w:lineRule="auto"/>
        <w:ind w:right="-220"/>
        <w:jc w:val="both"/>
        <w:rPr>
          <w:rFonts w:ascii="Times New Roman" w:eastAsia="Times New Roman" w:hAnsi="Times New Roman" w:cs="Times New Roman"/>
          <w:sz w:val="22"/>
          <w:szCs w:val="22"/>
        </w:rPr>
      </w:pPr>
    </w:p>
    <w:p w14:paraId="6F3F3211"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2.4.7. Casos de éxito en relación a la normativa propuesta. </w:t>
      </w:r>
    </w:p>
    <w:p w14:paraId="6670ABA9" w14:textId="77777777" w:rsidR="00A615A6" w:rsidRDefault="00A615A6">
      <w:pPr>
        <w:spacing w:line="360" w:lineRule="auto"/>
        <w:ind w:right="-220"/>
        <w:jc w:val="both"/>
        <w:rPr>
          <w:rFonts w:ascii="Times New Roman" w:eastAsia="Times New Roman" w:hAnsi="Times New Roman" w:cs="Times New Roman"/>
          <w:sz w:val="22"/>
          <w:szCs w:val="22"/>
        </w:rPr>
      </w:pPr>
    </w:p>
    <w:p w14:paraId="0B766B68"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La actividad que se describe a continuación fue diseñada durante el proceso de formación docente STEAM para la sostenibilidad (Silva-Hormazábal y Alsina, en prensa) realizado en el territorio Chiloé Chile, en específico en la comunidad rural de </w:t>
      </w:r>
      <w:proofErr w:type="spellStart"/>
      <w:r>
        <w:rPr>
          <w:rFonts w:ascii="Times New Roman" w:eastAsia="Times New Roman" w:hAnsi="Times New Roman" w:cs="Times New Roman"/>
          <w:sz w:val="22"/>
          <w:szCs w:val="22"/>
        </w:rPr>
        <w:t>Compu</w:t>
      </w:r>
      <w:proofErr w:type="spellEnd"/>
      <w:r>
        <w:rPr>
          <w:rFonts w:ascii="Times New Roman" w:eastAsia="Times New Roman" w:hAnsi="Times New Roman" w:cs="Times New Roman"/>
          <w:sz w:val="22"/>
          <w:szCs w:val="22"/>
        </w:rPr>
        <w:t xml:space="preserve">. La escuela participante es un establecimiento rural, multigrado, de dependencia municipal (estatal), que cuenta con una matrícula de 37 estudiantes (primero a sexto de primaria) y cinco docentes. Se encuentra emplazada en el borde costero del estero </w:t>
      </w:r>
      <w:proofErr w:type="spellStart"/>
      <w:r>
        <w:rPr>
          <w:rFonts w:ascii="Times New Roman" w:eastAsia="Times New Roman" w:hAnsi="Times New Roman" w:cs="Times New Roman"/>
          <w:sz w:val="22"/>
          <w:szCs w:val="22"/>
        </w:rPr>
        <w:t>Compu</w:t>
      </w:r>
      <w:proofErr w:type="spellEnd"/>
      <w:r>
        <w:rPr>
          <w:rFonts w:ascii="Times New Roman" w:eastAsia="Times New Roman" w:hAnsi="Times New Roman" w:cs="Times New Roman"/>
          <w:sz w:val="22"/>
          <w:szCs w:val="22"/>
        </w:rPr>
        <w:t>. , la actividad ha permitido observar cómo este tipo de diseños favorecen tanto el aprendizaje como la motivación del estudiantado, al mismo tiempo que logra desarrollar competencias de sostenibilidad. Al respecto, se puede considerar como una lección aprendida, que propuestas como la presentada logran promover el pensamiento crítico (UNESCO, 2017)</w:t>
      </w:r>
      <w:r>
        <w:rPr>
          <w:rFonts w:ascii="Times New Roman" w:eastAsia="Times New Roman" w:hAnsi="Times New Roman" w:cs="Times New Roman"/>
          <w:sz w:val="22"/>
          <w:szCs w:val="22"/>
          <w:vertAlign w:val="superscript"/>
        </w:rPr>
        <w:footnoteReference w:id="21"/>
      </w:r>
      <w:r>
        <w:rPr>
          <w:rFonts w:ascii="Times New Roman" w:eastAsia="Times New Roman" w:hAnsi="Times New Roman" w:cs="Times New Roman"/>
          <w:sz w:val="22"/>
          <w:szCs w:val="22"/>
        </w:rPr>
        <w:t xml:space="preserve"> en el alumnado, al enfrentarse a situaciones reales que requieren cuestionar las prácticas habituales, incluso las propias, </w:t>
      </w:r>
      <w:proofErr w:type="spellStart"/>
      <w:r>
        <w:rPr>
          <w:rFonts w:ascii="Times New Roman" w:eastAsia="Times New Roman" w:hAnsi="Times New Roman" w:cs="Times New Roman"/>
          <w:sz w:val="22"/>
          <w:szCs w:val="22"/>
        </w:rPr>
        <w:t>desafiandose</w:t>
      </w:r>
      <w:proofErr w:type="spellEnd"/>
      <w:r>
        <w:rPr>
          <w:rFonts w:ascii="Times New Roman" w:eastAsia="Times New Roman" w:hAnsi="Times New Roman" w:cs="Times New Roman"/>
          <w:sz w:val="22"/>
          <w:szCs w:val="22"/>
        </w:rPr>
        <w:t xml:space="preserve"> a adquirir una postura propia, en este caso frente a la sostenibilidad</w:t>
      </w:r>
    </w:p>
    <w:p w14:paraId="590335AB" w14:textId="77777777" w:rsidR="00A615A6" w:rsidRDefault="00A615A6">
      <w:pPr>
        <w:spacing w:line="360" w:lineRule="auto"/>
        <w:ind w:right="-220"/>
        <w:jc w:val="both"/>
        <w:rPr>
          <w:rFonts w:ascii="Times New Roman" w:eastAsia="Times New Roman" w:hAnsi="Times New Roman" w:cs="Times New Roman"/>
          <w:sz w:val="22"/>
          <w:szCs w:val="22"/>
        </w:rPr>
      </w:pPr>
    </w:p>
    <w:p w14:paraId="6B2EC67F"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2.5. STEAM nacional </w:t>
      </w:r>
    </w:p>
    <w:p w14:paraId="7C81ED1F" w14:textId="77777777" w:rsidR="00A615A6" w:rsidRDefault="00A615A6">
      <w:pPr>
        <w:spacing w:line="360" w:lineRule="auto"/>
        <w:ind w:right="-220"/>
        <w:jc w:val="both"/>
        <w:rPr>
          <w:rFonts w:ascii="Times New Roman" w:eastAsia="Times New Roman" w:hAnsi="Times New Roman" w:cs="Times New Roman"/>
          <w:sz w:val="22"/>
          <w:szCs w:val="22"/>
        </w:rPr>
      </w:pPr>
    </w:p>
    <w:p w14:paraId="1F72A930"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2.5.1. Desarrollo temporalidad </w:t>
      </w:r>
    </w:p>
    <w:p w14:paraId="0CD151B6" w14:textId="77777777" w:rsidR="00A615A6" w:rsidRDefault="00A615A6">
      <w:pPr>
        <w:spacing w:line="360" w:lineRule="auto"/>
        <w:ind w:right="-220"/>
        <w:jc w:val="both"/>
        <w:rPr>
          <w:rFonts w:ascii="Times New Roman" w:eastAsia="Times New Roman" w:hAnsi="Times New Roman" w:cs="Times New Roman"/>
          <w:sz w:val="22"/>
          <w:szCs w:val="22"/>
        </w:rPr>
      </w:pPr>
    </w:p>
    <w:p w14:paraId="55385A3B" w14:textId="77777777" w:rsidR="00A615A6" w:rsidRDefault="00A92D00">
      <w:p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A partir de algunas producciones colombianas que se han basado en la producción internacional, se podría entender la educación STEM/STEAM/STEAM+ como la aproximación interdisciplinaria a problemas contextuales o reales relevantes para los estudiantes en su proceso de formación integral. Esta busca sobrepasar los límites entre disciplinas -no solo las STEM-, pero al mismo tiempo procura un desarrollo riguroso del contenido de cada una de ellas para su aprendizaje (Botero,2018)</w:t>
      </w:r>
      <w:r>
        <w:rPr>
          <w:rFonts w:ascii="Times New Roman" w:eastAsia="Times New Roman" w:hAnsi="Times New Roman" w:cs="Times New Roman"/>
          <w:sz w:val="22"/>
          <w:szCs w:val="22"/>
          <w:highlight w:val="white"/>
          <w:vertAlign w:val="superscript"/>
        </w:rPr>
        <w:footnoteReference w:id="22"/>
      </w:r>
    </w:p>
    <w:p w14:paraId="6DEA5C3A" w14:textId="77777777" w:rsidR="00A615A6" w:rsidRDefault="00A615A6">
      <w:pPr>
        <w:spacing w:line="360" w:lineRule="auto"/>
        <w:ind w:right="-220"/>
        <w:jc w:val="both"/>
        <w:rPr>
          <w:rFonts w:ascii="Times New Roman" w:eastAsia="Times New Roman" w:hAnsi="Times New Roman" w:cs="Times New Roman"/>
          <w:sz w:val="22"/>
          <w:szCs w:val="22"/>
          <w:highlight w:val="white"/>
        </w:rPr>
      </w:pPr>
    </w:p>
    <w:p w14:paraId="52E11242"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enfoque educativo STEAM en el ámbito político se interpreta desde una perspectiva en donde ciudadano tiene un papel principal en la educación, es decir, STEAM manifiesta un trabajo integrado (interdisciplinariedad de las áreas) o también llamada “</w:t>
      </w:r>
      <w:proofErr w:type="spellStart"/>
      <w:r>
        <w:rPr>
          <w:rFonts w:ascii="Times New Roman" w:eastAsia="Times New Roman" w:hAnsi="Times New Roman" w:cs="Times New Roman"/>
          <w:sz w:val="22"/>
          <w:szCs w:val="22"/>
        </w:rPr>
        <w:t>Soft</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Skills</w:t>
      </w:r>
      <w:proofErr w:type="spellEnd"/>
      <w:r>
        <w:rPr>
          <w:rFonts w:ascii="Times New Roman" w:eastAsia="Times New Roman" w:hAnsi="Times New Roman" w:cs="Times New Roman"/>
          <w:sz w:val="22"/>
          <w:szCs w:val="22"/>
        </w:rPr>
        <w:t>” siendo enfático en la A como una reivindicación. Esta perspectiva en el ámbito político es presentada desde las vocaciones o competencias profesionales afrontando nuevos retos en lo Científico-Tecnológico a partir de la óptica de lo socioeconómico, donde la educación debe ser para la todos, como servicio público que está escrito en el artículo 67 de la Constitución Política de Colombia y como lo nombra (Domènech,2019)</w:t>
      </w:r>
      <w:r>
        <w:rPr>
          <w:rFonts w:ascii="Times New Roman" w:eastAsia="Times New Roman" w:hAnsi="Times New Roman" w:cs="Times New Roman"/>
          <w:sz w:val="22"/>
          <w:szCs w:val="22"/>
          <w:vertAlign w:val="superscript"/>
        </w:rPr>
        <w:footnoteReference w:id="23"/>
      </w:r>
      <w:r>
        <w:rPr>
          <w:rFonts w:ascii="Times New Roman" w:eastAsia="Times New Roman" w:hAnsi="Times New Roman" w:cs="Times New Roman"/>
          <w:sz w:val="22"/>
          <w:szCs w:val="22"/>
        </w:rPr>
        <w:t>.</w:t>
      </w:r>
    </w:p>
    <w:p w14:paraId="1F864B1D"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br/>
        <w:t xml:space="preserve">Las competencias asociadas al enfoque STEAM desde la norma de educación colombiana describe que la educación artística, la educación científica, la educación en matemáticas son habilidades que se desarrollan con conocimientos y actitudes específicos que se refieren a contextos propios, y que deben tener unas características específicas. En este sentido, los conocimientos, que son responsabilidad de la escuela en estas áreas son enmarcadas en disciplinas como: las artes que llevan a cabo el desarrollo de los sentidos desde la sensibilidad, la apreciación estética y el componente comunicativo; para las ciencias mirar los hechos y observar fenómenos, analizar y solucionar problemas, observar, sistematizar información relevante, utilizar métodos de análisis, evaluar, socializar los resultados; para las tecnologías </w:t>
      </w:r>
      <w:proofErr w:type="spellStart"/>
      <w:r>
        <w:rPr>
          <w:rFonts w:ascii="Times New Roman" w:eastAsia="Times New Roman" w:hAnsi="Times New Roman" w:cs="Times New Roman"/>
          <w:sz w:val="22"/>
          <w:szCs w:val="22"/>
        </w:rPr>
        <w:t>se</w:t>
      </w:r>
      <w:proofErr w:type="spellEnd"/>
      <w:r>
        <w:rPr>
          <w:rFonts w:ascii="Times New Roman" w:eastAsia="Times New Roman" w:hAnsi="Times New Roman" w:cs="Times New Roman"/>
          <w:sz w:val="22"/>
          <w:szCs w:val="22"/>
        </w:rPr>
        <w:t xml:space="preserve"> 22 enfatiza en formular, resolver, diseñar procesos y fenómenos del contexto, presentar la información para formular y comparar procedimientos y algoritmos (Universidad Pedagógica Nacional, 2023)</w:t>
      </w:r>
      <w:r>
        <w:rPr>
          <w:rFonts w:ascii="Times New Roman" w:eastAsia="Times New Roman" w:hAnsi="Times New Roman" w:cs="Times New Roman"/>
          <w:sz w:val="22"/>
          <w:szCs w:val="22"/>
          <w:vertAlign w:val="superscript"/>
        </w:rPr>
        <w:footnoteReference w:id="24"/>
      </w:r>
      <w:r>
        <w:rPr>
          <w:rFonts w:ascii="Times New Roman" w:eastAsia="Times New Roman" w:hAnsi="Times New Roman" w:cs="Times New Roman"/>
          <w:sz w:val="22"/>
          <w:szCs w:val="22"/>
        </w:rPr>
        <w:t xml:space="preserve"> </w:t>
      </w:r>
    </w:p>
    <w:p w14:paraId="7DFC68E7" w14:textId="77777777" w:rsidR="00A615A6" w:rsidRDefault="00A615A6">
      <w:pPr>
        <w:spacing w:line="360" w:lineRule="auto"/>
        <w:ind w:right="-220"/>
        <w:jc w:val="both"/>
        <w:rPr>
          <w:rFonts w:ascii="Times New Roman" w:eastAsia="Times New Roman" w:hAnsi="Times New Roman" w:cs="Times New Roman"/>
          <w:sz w:val="22"/>
          <w:szCs w:val="22"/>
        </w:rPr>
      </w:pPr>
    </w:p>
    <w:p w14:paraId="7588433F" w14:textId="77777777" w:rsidR="00A54EEF" w:rsidRDefault="00A92D00">
      <w:pPr>
        <w:spacing w:line="360" w:lineRule="auto"/>
        <w:ind w:right="-220"/>
        <w:jc w:val="both"/>
        <w:rPr>
          <w:rFonts w:ascii="Times New Roman" w:eastAsia="Times New Roman" w:hAnsi="Times New Roman" w:cs="Times New Roman"/>
          <w:b/>
          <w:i/>
          <w:sz w:val="22"/>
          <w:szCs w:val="22"/>
        </w:rPr>
      </w:pPr>
      <w:r>
        <w:rPr>
          <w:rFonts w:ascii="Times New Roman" w:eastAsia="Times New Roman" w:hAnsi="Times New Roman" w:cs="Times New Roman"/>
          <w:b/>
          <w:i/>
          <w:sz w:val="22"/>
          <w:szCs w:val="22"/>
        </w:rPr>
        <w:t>2.5.2. Inversión y retribución.</w:t>
      </w:r>
    </w:p>
    <w:p w14:paraId="57517029" w14:textId="26CCBC61"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En Colombia, la educación STEAM (Ciencia, Tecnología, Ingeniería, Artes y Matemáticas) ha ganado protagonismo como una herramienta clave para el desarrollo social y económico. A nivel educativo, el gobierno ha implementado iniciativas significativas, como el programa </w:t>
      </w:r>
      <w:r>
        <w:rPr>
          <w:rFonts w:ascii="Times New Roman" w:eastAsia="Times New Roman" w:hAnsi="Times New Roman" w:cs="Times New Roman"/>
          <w:i/>
          <w:sz w:val="22"/>
          <w:szCs w:val="22"/>
        </w:rPr>
        <w:t>Ruta STEM</w:t>
      </w:r>
      <w:r>
        <w:rPr>
          <w:rFonts w:ascii="Times New Roman" w:eastAsia="Times New Roman" w:hAnsi="Times New Roman" w:cs="Times New Roman"/>
          <w:sz w:val="22"/>
          <w:szCs w:val="22"/>
        </w:rPr>
        <w:t>, que en 2020 invirtió cerca de 1.000 millones de pesos para capacitar a más de 23.000 docentes. En 2021, el programa se expandió con una inversión superior a los 3.000 millones de pesos, beneficiando a 212.000 estudiantes a través de formación especializada para 12.871 maestros. Estos esfuerzos buscan preparar a las nuevas generaciones para los desafíos de la Cuarta Revolución Industrial, integrando conocimientos técnicos y creativos para fomentar la innovación en las aulas (Ministerios de Educación, 2020)</w:t>
      </w:r>
      <w:r>
        <w:rPr>
          <w:rFonts w:ascii="Times New Roman" w:eastAsia="Times New Roman" w:hAnsi="Times New Roman" w:cs="Times New Roman"/>
          <w:sz w:val="22"/>
          <w:szCs w:val="22"/>
          <w:vertAlign w:val="superscript"/>
        </w:rPr>
        <w:footnoteReference w:id="25"/>
      </w:r>
    </w:p>
    <w:p w14:paraId="6A48B3AD" w14:textId="77777777" w:rsidR="00A615A6" w:rsidRDefault="00A92D00">
      <w:pPr>
        <w:pStyle w:val="Ttulo1"/>
        <w:spacing w:before="240" w:after="240" w:line="360" w:lineRule="auto"/>
        <w:ind w:right="-220"/>
        <w:jc w:val="both"/>
        <w:rPr>
          <w:sz w:val="22"/>
          <w:szCs w:val="22"/>
        </w:rPr>
      </w:pPr>
      <w:bookmarkStart w:id="8" w:name="_heading=h.vfd6ww695sv" w:colFirst="0" w:colLast="0"/>
      <w:bookmarkEnd w:id="8"/>
      <w:r>
        <w:rPr>
          <w:sz w:val="22"/>
          <w:szCs w:val="22"/>
        </w:rPr>
        <w:t>En las regiones, el impacto de las inversiones STEAM es tangible. En el departamento del Cauca, el proyecto de aulas digitales STEAM ha transformado los espacios educativos, con una inversión superior a los 10.000 millones de pesos provenientes del Sistema General de Regalías. Estas aulas están diseñadas para promover la creatividad y las competencias tecnológicas en estudiantes y docentes, fortaleciendo la educación digital en un contexto donde el acceso a tecnologías aún enfrenta desafíos. Además, iniciativas similares en otras regiones han sido financiadas para fomentar el desarrollo integral de los estudiantes en áreas rurales y urbanas, destacando el compromiso de Colombia con la democratización de las tecnologías educativas (Gobernación del cauca, 2023)</w:t>
      </w:r>
      <w:r>
        <w:rPr>
          <w:sz w:val="22"/>
          <w:szCs w:val="22"/>
          <w:vertAlign w:val="superscript"/>
        </w:rPr>
        <w:footnoteReference w:id="26"/>
      </w:r>
      <w:r>
        <w:rPr>
          <w:sz w:val="22"/>
          <w:szCs w:val="22"/>
        </w:rPr>
        <w:t>.</w:t>
      </w:r>
    </w:p>
    <w:p w14:paraId="0221EB70"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Por otra parte, la industria de los videojuegos, uno de los sectores más representativos de la aplicación práctica de STEAM, ha mostrado un crecimiento notable en el país. Según reportes de 2023, los ingresos de esta industria alcanzaron más de 500 millones de dólares, destacándose las descargas, que generaron 205 millones de dólares. Además, se espera que en 2024 este sector supere los 450 millones de dólares, posicionando a Colombia como un jugador relevante en el mercado global de entretenimiento digital. Esto no solo resalta la importancia económica de STEAM, sino también su capacidad para impulsar la creación de empleo, la innovación tecnológica y la exportación de talento local hacia mercados internacionales (Semana,2023)</w:t>
      </w:r>
      <w:r>
        <w:rPr>
          <w:rFonts w:ascii="Times New Roman" w:eastAsia="Times New Roman" w:hAnsi="Times New Roman" w:cs="Times New Roman"/>
          <w:sz w:val="22"/>
          <w:szCs w:val="22"/>
          <w:vertAlign w:val="superscript"/>
        </w:rPr>
        <w:footnoteReference w:id="27"/>
      </w:r>
      <w:r>
        <w:rPr>
          <w:rFonts w:ascii="Times New Roman" w:eastAsia="Times New Roman" w:hAnsi="Times New Roman" w:cs="Times New Roman"/>
          <w:sz w:val="22"/>
          <w:szCs w:val="22"/>
        </w:rPr>
        <w:t xml:space="preserve"> (Republica,2023 ) </w:t>
      </w:r>
      <w:r>
        <w:rPr>
          <w:rFonts w:ascii="Times New Roman" w:eastAsia="Times New Roman" w:hAnsi="Times New Roman" w:cs="Times New Roman"/>
          <w:sz w:val="22"/>
          <w:szCs w:val="22"/>
          <w:vertAlign w:val="superscript"/>
        </w:rPr>
        <w:footnoteReference w:id="28"/>
      </w:r>
      <w:r>
        <w:rPr>
          <w:rFonts w:ascii="Times New Roman" w:eastAsia="Times New Roman" w:hAnsi="Times New Roman" w:cs="Times New Roman"/>
          <w:sz w:val="22"/>
          <w:szCs w:val="22"/>
        </w:rPr>
        <w:br/>
      </w:r>
    </w:p>
    <w:p w14:paraId="6A51D744"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2.5.3. Participación de mujeres</w:t>
      </w:r>
    </w:p>
    <w:p w14:paraId="60BC32A8" w14:textId="77777777" w:rsidR="00A615A6" w:rsidRDefault="00A615A6">
      <w:pPr>
        <w:spacing w:line="360" w:lineRule="auto"/>
        <w:ind w:right="-220"/>
        <w:jc w:val="both"/>
        <w:rPr>
          <w:rFonts w:ascii="Times New Roman" w:eastAsia="Times New Roman" w:hAnsi="Times New Roman" w:cs="Times New Roman"/>
          <w:sz w:val="22"/>
          <w:szCs w:val="22"/>
        </w:rPr>
      </w:pPr>
    </w:p>
    <w:p w14:paraId="2EF0378A"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Desde 2015, la Agenda 2030 ha incluido la igualdad de género como uno de los pilares para alcanzar el desarrollo sostenible. Tras el impacto de la pandemia por Covid-19, ha tomado mayor relevancia el abordaje de la crisis desde una perspectiva de género, así como la reducción de brechas entre mujeres y hombres. A continuación se anexa gráfica de Matriculados a primer semestre en carreras STEM (LEE, de la Pontificia Universidad Javeriana,2022)</w:t>
      </w:r>
      <w:r>
        <w:rPr>
          <w:rFonts w:ascii="Times New Roman" w:eastAsia="Times New Roman" w:hAnsi="Times New Roman" w:cs="Times New Roman"/>
          <w:sz w:val="22"/>
          <w:szCs w:val="22"/>
          <w:vertAlign w:val="superscript"/>
        </w:rPr>
        <w:footnoteReference w:id="29"/>
      </w:r>
    </w:p>
    <w:p w14:paraId="508F812C"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2C75C388" wp14:editId="3CDB00A3">
            <wp:extent cx="5612130" cy="2705100"/>
            <wp:effectExtent l="0" t="0" r="0" b="0"/>
            <wp:docPr id="1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5612130" cy="2705100"/>
                    </a:xfrm>
                    <a:prstGeom prst="rect">
                      <a:avLst/>
                    </a:prstGeom>
                    <a:ln/>
                  </pic:spPr>
                </pic:pic>
              </a:graphicData>
            </a:graphic>
          </wp:inline>
        </w:drawing>
      </w:r>
      <w:r>
        <w:rPr>
          <w:rFonts w:ascii="Times New Roman" w:eastAsia="Times New Roman" w:hAnsi="Times New Roman" w:cs="Times New Roman"/>
          <w:sz w:val="22"/>
          <w:szCs w:val="22"/>
        </w:rPr>
        <w:br/>
        <w:t>La participación de las mujeres en áreas del conocimiento STEM, aún es considerablemente inferior a la de los hombres. Muestra de esto es que para 2021, en Colombia el 62,2% de las personas graduadas de programas STEM fueron hombres y solo el 37,9% fueron mujeres. Esta diferencia es mucho más marcada en los programas relacionados con tecnología (76,2% hombres y 23,8% mujeres).(LEE, de la Pontificia Universidad Javeriana,2022)</w:t>
      </w:r>
      <w:r>
        <w:rPr>
          <w:rFonts w:ascii="Times New Roman" w:eastAsia="Times New Roman" w:hAnsi="Times New Roman" w:cs="Times New Roman"/>
          <w:sz w:val="22"/>
          <w:szCs w:val="22"/>
          <w:vertAlign w:val="superscript"/>
        </w:rPr>
        <w:footnoteReference w:id="30"/>
      </w:r>
      <w:r>
        <w:rPr>
          <w:rFonts w:ascii="Times New Roman" w:eastAsia="Times New Roman" w:hAnsi="Times New Roman" w:cs="Times New Roman"/>
          <w:sz w:val="22"/>
          <w:szCs w:val="22"/>
        </w:rPr>
        <w:t>.</w:t>
      </w:r>
    </w:p>
    <w:p w14:paraId="2C5B5F3C" w14:textId="77777777" w:rsidR="00A615A6" w:rsidRDefault="00A615A6">
      <w:pPr>
        <w:spacing w:line="360" w:lineRule="auto"/>
        <w:ind w:right="-220"/>
        <w:jc w:val="both"/>
        <w:rPr>
          <w:rFonts w:ascii="Times New Roman" w:eastAsia="Times New Roman" w:hAnsi="Times New Roman" w:cs="Times New Roman"/>
          <w:sz w:val="22"/>
          <w:szCs w:val="22"/>
        </w:rPr>
      </w:pPr>
    </w:p>
    <w:p w14:paraId="48614A00"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subrepresentación femenina en carreras STEM ocurre por múltiples factores psicológicos, socioculturales y biológicos, tales como preferencias personales, influencia parental, roles de género, estereotipos, entre otros (Morales Inga, S. y Morales Tristán, O., 2020)</w:t>
      </w:r>
      <w:r>
        <w:rPr>
          <w:rFonts w:ascii="Times New Roman" w:eastAsia="Times New Roman" w:hAnsi="Times New Roman" w:cs="Times New Roman"/>
          <w:sz w:val="22"/>
          <w:szCs w:val="22"/>
          <w:vertAlign w:val="superscript"/>
        </w:rPr>
        <w:footnoteReference w:id="31"/>
      </w:r>
      <w:r>
        <w:rPr>
          <w:rFonts w:ascii="Times New Roman" w:eastAsia="Times New Roman" w:hAnsi="Times New Roman" w:cs="Times New Roman"/>
          <w:sz w:val="22"/>
          <w:szCs w:val="22"/>
        </w:rPr>
        <w:t xml:space="preserve">. Dentro de los factores del entorno se deben considerar las posibilidades de las mujeres para iniciar y mantener una trayectoria educativa en carreras </w:t>
      </w:r>
      <w:proofErr w:type="spellStart"/>
      <w:r>
        <w:rPr>
          <w:rFonts w:ascii="Times New Roman" w:eastAsia="Times New Roman" w:hAnsi="Times New Roman" w:cs="Times New Roman"/>
          <w:sz w:val="22"/>
          <w:szCs w:val="22"/>
        </w:rPr>
        <w:t>STEM.Incrementar</w:t>
      </w:r>
      <w:proofErr w:type="spellEnd"/>
      <w:r>
        <w:rPr>
          <w:rFonts w:ascii="Times New Roman" w:eastAsia="Times New Roman" w:hAnsi="Times New Roman" w:cs="Times New Roman"/>
          <w:sz w:val="22"/>
          <w:szCs w:val="22"/>
        </w:rPr>
        <w:t xml:space="preserve"> la participación femenina en la formación en áreas STEM es una oportunidad para impulsar la economía y el crecimiento del sector en condiciones de igualdad y sostenibilidad.</w:t>
      </w:r>
    </w:p>
    <w:p w14:paraId="5760CD99" w14:textId="77777777" w:rsidR="00A615A6" w:rsidRDefault="00A615A6">
      <w:pPr>
        <w:spacing w:line="360" w:lineRule="auto"/>
        <w:ind w:right="-220"/>
        <w:jc w:val="both"/>
        <w:rPr>
          <w:rFonts w:ascii="Times New Roman" w:eastAsia="Times New Roman" w:hAnsi="Times New Roman" w:cs="Times New Roman"/>
          <w:sz w:val="22"/>
          <w:szCs w:val="22"/>
        </w:rPr>
      </w:pPr>
    </w:p>
    <w:p w14:paraId="37BC3A21"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Colombia, los resultados del Saber 11 evidencian amplias brechas de género en contra de las mujeres desde el colegio en áreas de matemáticas y ciencias, lo que le dificulta a las mujeres con potencial ingresar a la educación superior, especialmente en carreras STEM (Abadía, L. y Bernal, G., 2017)</w:t>
      </w:r>
      <w:r>
        <w:rPr>
          <w:rFonts w:ascii="Times New Roman" w:eastAsia="Times New Roman" w:hAnsi="Times New Roman" w:cs="Times New Roman"/>
          <w:sz w:val="22"/>
          <w:szCs w:val="22"/>
          <w:vertAlign w:val="superscript"/>
        </w:rPr>
        <w:footnoteReference w:id="32"/>
      </w:r>
      <w:r>
        <w:rPr>
          <w:rFonts w:ascii="Times New Roman" w:eastAsia="Times New Roman" w:hAnsi="Times New Roman" w:cs="Times New Roman"/>
          <w:sz w:val="22"/>
          <w:szCs w:val="22"/>
        </w:rPr>
        <w:t>. Desde la educación básica y media, es recomendable emplear acciones que permitan a las mujeres adquirir habilidades STEM desde edades tempranas, así como iniciar una trayectoria de formación en estos campos.(LEE, de la Pontificia Universidad Javeriana,2022)</w:t>
      </w:r>
      <w:r>
        <w:rPr>
          <w:rFonts w:ascii="Times New Roman" w:eastAsia="Times New Roman" w:hAnsi="Times New Roman" w:cs="Times New Roman"/>
          <w:sz w:val="22"/>
          <w:szCs w:val="22"/>
          <w:vertAlign w:val="superscript"/>
        </w:rPr>
        <w:footnoteReference w:id="33"/>
      </w:r>
    </w:p>
    <w:p w14:paraId="4B0ECBC5"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2.5.4. STEAM desde la infancia, juventud y adolescencia (colegios), resolución de problemas, capacidades blandas y otros, desarrollo del IQ</w:t>
      </w:r>
    </w:p>
    <w:p w14:paraId="11AC1EDC"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13288CAE"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En Colombia, la participación de niños, jóvenes y adolescentes en áreas STEAM (Ciencia, Tecnología, Ingeniería, Artes y Matemáticas) ha mostrado avances significativos en los últimos años. Según el Departamento Administrativo Nacional de Estadística (DANE), en 2021, el 55% de los jóvenes entre 15 y 24 años estaban matriculados en programas de educación superior relacionados con ciencias, tecnología, ingeniería y matemáticas (DANE, 2021)</w:t>
      </w:r>
      <w:r>
        <w:rPr>
          <w:rFonts w:ascii="Times New Roman" w:eastAsia="Times New Roman" w:hAnsi="Times New Roman" w:cs="Times New Roman"/>
          <w:b/>
          <w:sz w:val="22"/>
          <w:szCs w:val="22"/>
          <w:u w:val="single"/>
          <w:vertAlign w:val="superscript"/>
        </w:rPr>
        <w:footnoteReference w:id="34"/>
      </w:r>
      <w:r>
        <w:rPr>
          <w:rFonts w:ascii="Times New Roman" w:eastAsia="Times New Roman" w:hAnsi="Times New Roman" w:cs="Times New Roman"/>
          <w:b/>
          <w:sz w:val="22"/>
          <w:szCs w:val="22"/>
          <w:u w:val="single"/>
        </w:rPr>
        <w:t>.</w:t>
      </w:r>
    </w:p>
    <w:p w14:paraId="15A9AFE1"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29CCF4DA"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A nivel de educación básica y media, el Ministerio de Educación Nacional ha implementado estrategias para fomentar el interés en disciplinas STEAM desde edades tempranas. En 2020, se reportó que aproximadamente el 60% de las instituciones educativas públicas incorporaron proyectos relacionados con estas áreas en sus planes de estudio, beneficiando a más de 1.5 millones de estudiantes en todo el país (Ministerio de Educación, 2020)</w:t>
      </w:r>
      <w:r>
        <w:rPr>
          <w:rFonts w:ascii="Times New Roman" w:eastAsia="Times New Roman" w:hAnsi="Times New Roman" w:cs="Times New Roman"/>
          <w:b/>
          <w:sz w:val="22"/>
          <w:szCs w:val="22"/>
          <w:u w:val="single"/>
          <w:vertAlign w:val="superscript"/>
        </w:rPr>
        <w:footnoteReference w:id="35"/>
      </w:r>
      <w:r>
        <w:rPr>
          <w:rFonts w:ascii="Times New Roman" w:eastAsia="Times New Roman" w:hAnsi="Times New Roman" w:cs="Times New Roman"/>
          <w:b/>
          <w:sz w:val="22"/>
          <w:szCs w:val="22"/>
          <w:u w:val="single"/>
        </w:rPr>
        <w:t xml:space="preserve">. </w:t>
      </w:r>
    </w:p>
    <w:p w14:paraId="36DA05D2"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Sin embargo en Colombia, la participación de niños, jóvenes y adolescentes en programas STEAM (Ciencia, Tecnología, Ingeniería, Artes y Matemáticas) ha mostrado un crecimiento significativo en los últimos años. El Ministerio de Ciencia, Tecnología e Innovación ha implementado iniciativas como el programa "Colombia Robótica", que en 2023 destinó 5.000 millones de pesos para fortalecer las competencias en estas áreas. Este programa benefició a más de 2.600 niños, niñas y jóvenes, así como a cerca de 600 docentes en todo el país (Ministerio de Educación, 2023)</w:t>
      </w:r>
      <w:r>
        <w:rPr>
          <w:rFonts w:ascii="Times New Roman" w:eastAsia="Times New Roman" w:hAnsi="Times New Roman" w:cs="Times New Roman"/>
          <w:sz w:val="22"/>
          <w:szCs w:val="22"/>
          <w:vertAlign w:val="superscript"/>
        </w:rPr>
        <w:footnoteReference w:id="36"/>
      </w:r>
      <w:r>
        <w:rPr>
          <w:rFonts w:ascii="Times New Roman" w:eastAsia="Times New Roman" w:hAnsi="Times New Roman" w:cs="Times New Roman"/>
          <w:sz w:val="22"/>
          <w:szCs w:val="22"/>
        </w:rPr>
        <w:t>. En Medellín, se ha registrado una participación significativa de niñas y jóvenes en procesos de aprendizaje relacionados con ciencia, tecnología e innovación. Un total de 12.739 estudiantes femeninas están involucradas en la Media Técnica, representando el 55% de los matriculados en este nivel educativo (</w:t>
      </w:r>
      <w:proofErr w:type="spellStart"/>
      <w:r>
        <w:rPr>
          <w:rFonts w:ascii="Times New Roman" w:eastAsia="Times New Roman" w:hAnsi="Times New Roman" w:cs="Times New Roman"/>
          <w:sz w:val="22"/>
          <w:szCs w:val="22"/>
        </w:rPr>
        <w:t>Alcaldia</w:t>
      </w:r>
      <w:proofErr w:type="spellEnd"/>
      <w:r>
        <w:rPr>
          <w:rFonts w:ascii="Times New Roman" w:eastAsia="Times New Roman" w:hAnsi="Times New Roman" w:cs="Times New Roman"/>
          <w:sz w:val="22"/>
          <w:szCs w:val="22"/>
        </w:rPr>
        <w:t xml:space="preserve"> de </w:t>
      </w:r>
      <w:proofErr w:type="spellStart"/>
      <w:r>
        <w:rPr>
          <w:rFonts w:ascii="Times New Roman" w:eastAsia="Times New Roman" w:hAnsi="Times New Roman" w:cs="Times New Roman"/>
          <w:sz w:val="22"/>
          <w:szCs w:val="22"/>
        </w:rPr>
        <w:t>Medellin</w:t>
      </w:r>
      <w:proofErr w:type="spellEnd"/>
      <w:r>
        <w:rPr>
          <w:rFonts w:ascii="Times New Roman" w:eastAsia="Times New Roman" w:hAnsi="Times New Roman" w:cs="Times New Roman"/>
          <w:sz w:val="22"/>
          <w:szCs w:val="22"/>
        </w:rPr>
        <w:t>, 2023)</w:t>
      </w:r>
      <w:r>
        <w:rPr>
          <w:rFonts w:ascii="Times New Roman" w:eastAsia="Times New Roman" w:hAnsi="Times New Roman" w:cs="Times New Roman"/>
          <w:sz w:val="22"/>
          <w:szCs w:val="22"/>
          <w:vertAlign w:val="superscript"/>
        </w:rPr>
        <w:footnoteReference w:id="37"/>
      </w:r>
    </w:p>
    <w:p w14:paraId="651E0CB9" w14:textId="77777777" w:rsidR="00A615A6" w:rsidRDefault="00A615A6">
      <w:pPr>
        <w:spacing w:line="360" w:lineRule="auto"/>
        <w:ind w:right="-220"/>
        <w:jc w:val="both"/>
        <w:rPr>
          <w:rFonts w:ascii="Times New Roman" w:eastAsia="Times New Roman" w:hAnsi="Times New Roman" w:cs="Times New Roman"/>
          <w:sz w:val="22"/>
          <w:szCs w:val="22"/>
          <w:highlight w:val="yellow"/>
        </w:rPr>
      </w:pPr>
    </w:p>
    <w:p w14:paraId="4CDB0154"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2.5.5. </w:t>
      </w:r>
      <w:proofErr w:type="spellStart"/>
      <w:r>
        <w:rPr>
          <w:rFonts w:ascii="Times New Roman" w:eastAsia="Times New Roman" w:hAnsi="Times New Roman" w:cs="Times New Roman"/>
          <w:b/>
          <w:sz w:val="22"/>
          <w:szCs w:val="22"/>
          <w:u w:val="single"/>
        </w:rPr>
        <w:t>Steam</w:t>
      </w:r>
      <w:proofErr w:type="spellEnd"/>
      <w:r>
        <w:rPr>
          <w:rFonts w:ascii="Times New Roman" w:eastAsia="Times New Roman" w:hAnsi="Times New Roman" w:cs="Times New Roman"/>
          <w:b/>
          <w:sz w:val="22"/>
          <w:szCs w:val="22"/>
          <w:u w:val="single"/>
        </w:rPr>
        <w:t xml:space="preserve"> en ruralidad </w:t>
      </w:r>
    </w:p>
    <w:p w14:paraId="08CED17B" w14:textId="77777777" w:rsidR="00A615A6" w:rsidRDefault="00A615A6">
      <w:pPr>
        <w:spacing w:line="360" w:lineRule="auto"/>
        <w:ind w:right="-220"/>
        <w:jc w:val="both"/>
        <w:rPr>
          <w:rFonts w:ascii="Times New Roman" w:eastAsia="Times New Roman" w:hAnsi="Times New Roman" w:cs="Times New Roman"/>
          <w:sz w:val="22"/>
          <w:szCs w:val="22"/>
        </w:rPr>
      </w:pPr>
    </w:p>
    <w:p w14:paraId="0147069F"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Colombia según el Instituto Colombiano para la Evaluación de la Educación las instituciones educativas rurales entre los años 2017 a 2020 han recibido los resultados más bajos en las pruebas SABER 11, seguido por las instituciones educativas oficiales urbanas y con los mejores resultados las no oficiales. Por consiguiente, es urgente priorizar los colegios rurales en este tipo de enfoques holísticos para mejorar los indicadores y reducir la brecha de desigualdad entre la educación urbana y rural. Además, apoyar en el proceso de contextualización del conocimiento desde las escuelas (ICFES,2021)</w:t>
      </w:r>
      <w:r>
        <w:rPr>
          <w:rFonts w:ascii="Times New Roman" w:eastAsia="Times New Roman" w:hAnsi="Times New Roman" w:cs="Times New Roman"/>
          <w:sz w:val="22"/>
          <w:szCs w:val="22"/>
          <w:vertAlign w:val="superscript"/>
        </w:rPr>
        <w:footnoteReference w:id="38"/>
      </w:r>
      <w:r>
        <w:rPr>
          <w:rFonts w:ascii="Times New Roman" w:eastAsia="Times New Roman" w:hAnsi="Times New Roman" w:cs="Times New Roman"/>
          <w:sz w:val="22"/>
          <w:szCs w:val="22"/>
        </w:rPr>
        <w:t>.</w:t>
      </w:r>
    </w:p>
    <w:p w14:paraId="1CD5B850" w14:textId="77777777" w:rsidR="00A615A6" w:rsidRDefault="00A615A6">
      <w:pPr>
        <w:spacing w:line="360" w:lineRule="auto"/>
        <w:ind w:right="-220"/>
        <w:jc w:val="both"/>
        <w:rPr>
          <w:rFonts w:ascii="Times New Roman" w:eastAsia="Times New Roman" w:hAnsi="Times New Roman" w:cs="Times New Roman"/>
          <w:sz w:val="22"/>
          <w:szCs w:val="22"/>
        </w:rPr>
      </w:pPr>
    </w:p>
    <w:p w14:paraId="4E0C9188"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Para el 2021, la diferencia fue de 26 puntos en contra de los estudiantes de zonas rurales y de 41,3 con respecto a los estudiantes matriculados en colegios rurales en los 170 municipios PDET. Para el 2022, la brecha aumentó a 26,4 puntos con respecto a la zona urbana y con relación a los PDET pasó a 44,5 puntos. Es preciso indicar que para antes de la pandemia (año 2019) las brechas en el puntaje global eran menores. Los puntajes inferiores pueden ser un indicativo de menor calidad en la educación impartida y convertirse en un obstáculo para el acceso a la educación superior por parte de estudiantes rurales, puesto que varias instituciones universitarias usan este examen como método de admisión (LEE Pontifica Universidad Javeriana,2023)</w:t>
      </w:r>
      <w:r>
        <w:rPr>
          <w:rFonts w:ascii="Times New Roman" w:eastAsia="Times New Roman" w:hAnsi="Times New Roman" w:cs="Times New Roman"/>
          <w:sz w:val="22"/>
          <w:szCs w:val="22"/>
          <w:vertAlign w:val="superscript"/>
        </w:rPr>
        <w:footnoteReference w:id="39"/>
      </w:r>
      <w:r>
        <w:rPr>
          <w:rFonts w:ascii="Times New Roman" w:eastAsia="Times New Roman" w:hAnsi="Times New Roman" w:cs="Times New Roman"/>
          <w:sz w:val="22"/>
          <w:szCs w:val="22"/>
        </w:rPr>
        <w:t>.</w:t>
      </w:r>
    </w:p>
    <w:p w14:paraId="5337E3C9"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38B44AF3" wp14:editId="77AC2F08">
            <wp:extent cx="5438775" cy="3019425"/>
            <wp:effectExtent l="0" t="0" r="0" b="0"/>
            <wp:docPr id="12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5438775" cy="3019425"/>
                    </a:xfrm>
                    <a:prstGeom prst="rect">
                      <a:avLst/>
                    </a:prstGeom>
                    <a:ln/>
                  </pic:spPr>
                </pic:pic>
              </a:graphicData>
            </a:graphic>
          </wp:inline>
        </w:drawing>
      </w:r>
    </w:p>
    <w:p w14:paraId="222A8238"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Figura 2. Porcentaje de sedes educativas sin acceso a herramientas TIC.</w:t>
      </w:r>
    </w:p>
    <w:p w14:paraId="53D25CE8" w14:textId="77777777" w:rsidR="00A615A6" w:rsidRDefault="00A92D00">
      <w:pPr>
        <w:spacing w:line="360" w:lineRule="auto"/>
        <w:ind w:right="-22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Fuente: Elaboración datos EDUC-2021 (DANE)</w:t>
      </w:r>
    </w:p>
    <w:p w14:paraId="484323D2" w14:textId="77777777" w:rsidR="00A615A6" w:rsidRDefault="00A615A6">
      <w:pPr>
        <w:spacing w:line="360" w:lineRule="auto"/>
        <w:ind w:right="-220"/>
        <w:jc w:val="both"/>
        <w:rPr>
          <w:rFonts w:ascii="Times New Roman" w:eastAsia="Times New Roman" w:hAnsi="Times New Roman" w:cs="Times New Roman"/>
          <w:sz w:val="22"/>
          <w:szCs w:val="22"/>
        </w:rPr>
      </w:pPr>
    </w:p>
    <w:p w14:paraId="52C20C93"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Esta gráfica tomada del  (LEE Pontifica Universidad Javeriana,2023)</w:t>
      </w:r>
      <w:r>
        <w:rPr>
          <w:rFonts w:ascii="Times New Roman" w:eastAsia="Times New Roman" w:hAnsi="Times New Roman" w:cs="Times New Roman"/>
          <w:sz w:val="22"/>
          <w:szCs w:val="22"/>
          <w:vertAlign w:val="superscript"/>
        </w:rPr>
        <w:footnoteReference w:id="40"/>
      </w:r>
      <w:r>
        <w:rPr>
          <w:rFonts w:ascii="Times New Roman" w:eastAsia="Times New Roman" w:hAnsi="Times New Roman" w:cs="Times New Roman"/>
          <w:sz w:val="22"/>
          <w:szCs w:val="22"/>
        </w:rPr>
        <w:t xml:space="preserve"> revela que los porcentajes de sedes educativas sin acceso a herramientas TIC en las zonas rurales refleja la desigualdad y falta de garantías para proporcionar enfoque </w:t>
      </w:r>
      <w:r>
        <w:rPr>
          <w:rFonts w:ascii="Times New Roman" w:eastAsia="Times New Roman" w:hAnsi="Times New Roman" w:cs="Times New Roman"/>
          <w:b/>
          <w:sz w:val="22"/>
          <w:szCs w:val="22"/>
        </w:rPr>
        <w:t>STEAM</w:t>
      </w:r>
      <w:r>
        <w:rPr>
          <w:rFonts w:ascii="Times New Roman" w:eastAsia="Times New Roman" w:hAnsi="Times New Roman" w:cs="Times New Roman"/>
          <w:sz w:val="22"/>
          <w:szCs w:val="22"/>
        </w:rPr>
        <w:t xml:space="preserve"> en el que no incluyen a estudiantes rurales que no cuentan con herramientas TIC.</w:t>
      </w:r>
    </w:p>
    <w:p w14:paraId="796942B5" w14:textId="77777777" w:rsidR="00A615A6" w:rsidRDefault="00A615A6">
      <w:pPr>
        <w:spacing w:line="360" w:lineRule="auto"/>
        <w:ind w:right="-220"/>
        <w:jc w:val="both"/>
        <w:rPr>
          <w:rFonts w:ascii="Times New Roman" w:eastAsia="Times New Roman" w:hAnsi="Times New Roman" w:cs="Times New Roman"/>
          <w:sz w:val="22"/>
          <w:szCs w:val="22"/>
        </w:rPr>
      </w:pPr>
    </w:p>
    <w:p w14:paraId="56311BC1"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enfoque STEAM probablemente será uno de los caminos para el mejoramiento de los indicadores académicos de las instituciones educativas rurales y en general de todo Colombia. Además, al permitir conectar a las entidades de formación con los problemas de contexto, puede hacer más significativo el aprendizaje y visible la participación de los colegios en el desarrollo de las regiones. El uso de un eje transversal adaptado al enfoque STEAM y contextualizado a la naturaleza de las instituciones que hacen parte del estudio puede hacer de este producto de investigación más significativo para las instituciones beneficiarias(</w:t>
      </w:r>
      <w:r>
        <w:rPr>
          <w:rFonts w:ascii="Times New Roman" w:eastAsia="Times New Roman" w:hAnsi="Times New Roman" w:cs="Times New Roman"/>
          <w:sz w:val="22"/>
          <w:szCs w:val="22"/>
          <w:highlight w:val="white"/>
        </w:rPr>
        <w:t xml:space="preserve">SANCHEZ CAMPO, J. R., &amp; </w:t>
      </w:r>
      <w:proofErr w:type="spellStart"/>
      <w:r>
        <w:rPr>
          <w:rFonts w:ascii="Times New Roman" w:eastAsia="Times New Roman" w:hAnsi="Times New Roman" w:cs="Times New Roman"/>
          <w:sz w:val="22"/>
          <w:szCs w:val="22"/>
          <w:highlight w:val="white"/>
        </w:rPr>
        <w:t>Rodelo</w:t>
      </w:r>
      <w:proofErr w:type="spellEnd"/>
      <w:r>
        <w:rPr>
          <w:rFonts w:ascii="Times New Roman" w:eastAsia="Times New Roman" w:hAnsi="Times New Roman" w:cs="Times New Roman"/>
          <w:sz w:val="22"/>
          <w:szCs w:val="22"/>
          <w:highlight w:val="white"/>
        </w:rPr>
        <w:t xml:space="preserve"> Molina, M. K.,2022)</w:t>
      </w:r>
      <w:r>
        <w:rPr>
          <w:rFonts w:ascii="Times New Roman" w:eastAsia="Times New Roman" w:hAnsi="Times New Roman" w:cs="Times New Roman"/>
          <w:sz w:val="22"/>
          <w:szCs w:val="22"/>
          <w:vertAlign w:val="superscript"/>
        </w:rPr>
        <w:footnoteReference w:id="41"/>
      </w:r>
    </w:p>
    <w:p w14:paraId="35029AA6"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3FF39C7C"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2.5.6. </w:t>
      </w:r>
      <w:proofErr w:type="spellStart"/>
      <w:r>
        <w:rPr>
          <w:rFonts w:ascii="Times New Roman" w:eastAsia="Times New Roman" w:hAnsi="Times New Roman" w:cs="Times New Roman"/>
          <w:b/>
          <w:sz w:val="22"/>
          <w:szCs w:val="22"/>
          <w:u w:val="single"/>
        </w:rPr>
        <w:t>Steam</w:t>
      </w:r>
      <w:proofErr w:type="spellEnd"/>
      <w:r>
        <w:rPr>
          <w:rFonts w:ascii="Times New Roman" w:eastAsia="Times New Roman" w:hAnsi="Times New Roman" w:cs="Times New Roman"/>
          <w:b/>
          <w:sz w:val="22"/>
          <w:szCs w:val="22"/>
          <w:u w:val="single"/>
        </w:rPr>
        <w:t xml:space="preserve"> comunidades vulnerables</w:t>
      </w:r>
    </w:p>
    <w:p w14:paraId="7FC71424" w14:textId="77777777" w:rsidR="00A615A6" w:rsidRDefault="00A615A6">
      <w:pPr>
        <w:spacing w:line="360" w:lineRule="auto"/>
        <w:ind w:right="-220"/>
        <w:jc w:val="both"/>
        <w:rPr>
          <w:rFonts w:ascii="Times New Roman" w:eastAsia="Times New Roman" w:hAnsi="Times New Roman" w:cs="Times New Roman"/>
          <w:sz w:val="22"/>
          <w:szCs w:val="22"/>
          <w:highlight w:val="yellow"/>
        </w:rPr>
      </w:pPr>
    </w:p>
    <w:p w14:paraId="135C93C7"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Oferta de educación superior en Colombia frente al nuevo contexto se evidencia que los egresados enfrentan la dificultad de insertarse laboralmente: índice de desempleo del 13,3% en noviembre de 2020 (DANE, 2020a) y del 14,3% en julio de 2021 (DANE, 2021a), y crecimiento en empleo no formal del 47,5% de agosto a octubre de 2020 (DANE, 2020b) y del 46,9% de mayo a julio de 2021 (DANE, 2021b); mientras subsisten altas tasas de pobreza y desigualdad. Consecuentemente muchos jóvenes han emigrado internacionalmente a aprender un segundo idioma, a estudiar, a especializarse, a emplearse o a probar fortuna (Sanabria-Rangel, P.&amp; Ospina-Díaz, M. ,2023).</w:t>
      </w:r>
      <w:r>
        <w:rPr>
          <w:rFonts w:ascii="Times New Roman" w:eastAsia="Times New Roman" w:hAnsi="Times New Roman" w:cs="Times New Roman"/>
          <w:sz w:val="22"/>
          <w:szCs w:val="22"/>
          <w:vertAlign w:val="superscript"/>
        </w:rPr>
        <w:footnoteReference w:id="42"/>
      </w:r>
    </w:p>
    <w:p w14:paraId="619E05F1" w14:textId="77777777" w:rsidR="00A615A6" w:rsidRDefault="00A615A6">
      <w:pPr>
        <w:spacing w:line="360" w:lineRule="auto"/>
        <w:ind w:right="-220"/>
        <w:jc w:val="both"/>
        <w:rPr>
          <w:rFonts w:ascii="Times New Roman" w:eastAsia="Times New Roman" w:hAnsi="Times New Roman" w:cs="Times New Roman"/>
          <w:sz w:val="22"/>
          <w:szCs w:val="22"/>
        </w:rPr>
      </w:pPr>
    </w:p>
    <w:p w14:paraId="0656E7CA"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Parte del problema parece relacionarse con el desencanto por las carreras tradicionales (que empiezan a verse poco pertinentes), con la incertidumbre frente a empleabilidad y con la disminución de jóvenes en edad de estudiar: 8,7% en 2020 vs. 11,8 en 1973 (Semana, 2020)</w:t>
      </w:r>
      <w:r>
        <w:rPr>
          <w:rFonts w:ascii="Times New Roman" w:eastAsia="Times New Roman" w:hAnsi="Times New Roman" w:cs="Times New Roman"/>
          <w:sz w:val="22"/>
          <w:szCs w:val="22"/>
          <w:vertAlign w:val="superscript"/>
        </w:rPr>
        <w:footnoteReference w:id="43"/>
      </w:r>
      <w:r>
        <w:rPr>
          <w:rFonts w:ascii="Times New Roman" w:eastAsia="Times New Roman" w:hAnsi="Times New Roman" w:cs="Times New Roman"/>
          <w:sz w:val="22"/>
          <w:szCs w:val="22"/>
        </w:rPr>
        <w:t>. Se suma la preferencia creciente por cursos virtuales, nacionales e internacionales (algunos gratuitos), y la ampliación constante de la oferta.</w:t>
      </w:r>
    </w:p>
    <w:p w14:paraId="4F06DFD0" w14:textId="77777777" w:rsidR="00A615A6" w:rsidRDefault="00A615A6">
      <w:pPr>
        <w:spacing w:line="360" w:lineRule="auto"/>
        <w:ind w:right="-220"/>
        <w:jc w:val="both"/>
        <w:rPr>
          <w:rFonts w:ascii="Times New Roman" w:eastAsia="Times New Roman" w:hAnsi="Times New Roman" w:cs="Times New Roman"/>
          <w:sz w:val="22"/>
          <w:szCs w:val="22"/>
        </w:rPr>
      </w:pPr>
    </w:p>
    <w:p w14:paraId="55C50794"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Si se considera que existe una crisis educativa en Colombia, según el exministro de educación Alejandro Gaviria (El Tiempo, 2022)</w:t>
      </w:r>
      <w:r>
        <w:rPr>
          <w:rFonts w:ascii="Times New Roman" w:eastAsia="Times New Roman" w:hAnsi="Times New Roman" w:cs="Times New Roman"/>
          <w:sz w:val="22"/>
          <w:szCs w:val="22"/>
          <w:vertAlign w:val="superscript"/>
        </w:rPr>
        <w:footnoteReference w:id="44"/>
      </w:r>
      <w:r>
        <w:rPr>
          <w:rFonts w:ascii="Times New Roman" w:eastAsia="Times New Roman" w:hAnsi="Times New Roman" w:cs="Times New Roman"/>
          <w:sz w:val="22"/>
          <w:szCs w:val="22"/>
        </w:rPr>
        <w:t>, esto parece deberse al insuficiente presupuesto, a las brechas entre estudiantes  de regiones y las ciudades (agravada por la pandemia), pero también puede deberse al tipo de educación que se está brindando. Al respecto el MEN ha venido impulsando STEM+ y el Encuentro Nacional STEM+ y divulgación mediante el portal Colombia Aprende, para la consolidación y el reconocimiento de este enfoque en los territorios, en Colombia los egresados STEAM son pocos, al igual que las iniciativas para aportar al desarrollo de las competencias requeridas para la cuarta revolución y el empleo del futuro</w:t>
      </w:r>
    </w:p>
    <w:p w14:paraId="02C08A84"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2F8EA3F3"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2.5.7. Casos de éxito en relación a la normativa propuesta. </w:t>
      </w:r>
    </w:p>
    <w:p w14:paraId="0E346B63" w14:textId="77777777" w:rsidR="00A615A6" w:rsidRDefault="00A615A6">
      <w:pPr>
        <w:spacing w:line="360" w:lineRule="auto"/>
        <w:ind w:right="-220"/>
        <w:jc w:val="both"/>
        <w:rPr>
          <w:rFonts w:ascii="Times New Roman" w:eastAsia="Times New Roman" w:hAnsi="Times New Roman" w:cs="Times New Roman"/>
          <w:sz w:val="22"/>
          <w:szCs w:val="22"/>
        </w:rPr>
      </w:pPr>
    </w:p>
    <w:p w14:paraId="0C0871BC" w14:textId="77777777" w:rsidR="00A615A6" w:rsidRDefault="00A92D00">
      <w:pPr>
        <w:numPr>
          <w:ilvl w:val="0"/>
          <w:numId w:val="2"/>
        </w:num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el caso colombiano, concretamente en Medellín, la implementación de un enfoque integrado de STEAM más Humanidades no solamente se traduce en resultados, sino que las investigaciones realizadas al respecto (Cano et al., 2021)</w:t>
      </w:r>
      <w:r>
        <w:rPr>
          <w:rFonts w:ascii="Times New Roman" w:eastAsia="Times New Roman" w:hAnsi="Times New Roman" w:cs="Times New Roman"/>
          <w:sz w:val="22"/>
          <w:szCs w:val="22"/>
          <w:vertAlign w:val="superscript"/>
        </w:rPr>
        <w:footnoteReference w:id="45"/>
      </w:r>
      <w:r>
        <w:rPr>
          <w:rFonts w:ascii="Times New Roman" w:eastAsia="Times New Roman" w:hAnsi="Times New Roman" w:cs="Times New Roman"/>
          <w:sz w:val="22"/>
          <w:szCs w:val="22"/>
        </w:rPr>
        <w:t xml:space="preserve"> muestran un factor fundamental en el desarrollo del contexto local. </w:t>
      </w:r>
    </w:p>
    <w:p w14:paraId="3AFFF8B0" w14:textId="77777777" w:rsidR="00A615A6" w:rsidRDefault="00A615A6">
      <w:pPr>
        <w:spacing w:line="360" w:lineRule="auto"/>
        <w:ind w:left="720" w:right="-220"/>
        <w:jc w:val="both"/>
        <w:rPr>
          <w:rFonts w:ascii="Times New Roman" w:eastAsia="Times New Roman" w:hAnsi="Times New Roman" w:cs="Times New Roman"/>
          <w:b/>
          <w:sz w:val="22"/>
          <w:szCs w:val="22"/>
          <w:u w:val="single"/>
        </w:rPr>
      </w:pPr>
    </w:p>
    <w:p w14:paraId="08F4450B" w14:textId="77777777" w:rsidR="00A615A6" w:rsidRDefault="00A92D00">
      <w:pPr>
        <w:numPr>
          <w:ilvl w:val="0"/>
          <w:numId w:val="2"/>
        </w:num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La iniciativa STEAM Pasca rural está fundamentada en los principios de la políticas educativas —en relación con el uso de las TIC, declaradas en la UNESCO y en los acuerdos de las cumbres de la américas OEA2 —, en la videoconferencia como recurso TIC, y, en la educación STEAM y el modelo aprendo haciendo 2.6 STEAM Distrital(Columbia </w:t>
      </w:r>
      <w:proofErr w:type="spellStart"/>
      <w:r>
        <w:rPr>
          <w:rFonts w:ascii="Times New Roman" w:eastAsia="Times New Roman" w:hAnsi="Times New Roman" w:cs="Times New Roman"/>
          <w:sz w:val="22"/>
          <w:szCs w:val="22"/>
        </w:rPr>
        <w:t>College</w:t>
      </w:r>
      <w:proofErr w:type="spellEnd"/>
      <w:r>
        <w:rPr>
          <w:rFonts w:ascii="Times New Roman" w:eastAsia="Times New Roman" w:hAnsi="Times New Roman" w:cs="Times New Roman"/>
          <w:sz w:val="22"/>
          <w:szCs w:val="22"/>
        </w:rPr>
        <w:t xml:space="preserve"> Chicago, 2017)</w:t>
      </w:r>
      <w:r>
        <w:rPr>
          <w:rFonts w:ascii="Times New Roman" w:eastAsia="Times New Roman" w:hAnsi="Times New Roman" w:cs="Times New Roman"/>
          <w:sz w:val="22"/>
          <w:szCs w:val="22"/>
          <w:u w:val="single"/>
          <w:vertAlign w:val="superscript"/>
        </w:rPr>
        <w:footnoteReference w:id="46"/>
      </w:r>
    </w:p>
    <w:p w14:paraId="1E0966F4" w14:textId="77777777" w:rsidR="00A615A6" w:rsidRDefault="00A615A6">
      <w:pPr>
        <w:spacing w:line="360" w:lineRule="auto"/>
        <w:ind w:left="720" w:right="-220"/>
        <w:jc w:val="both"/>
        <w:rPr>
          <w:rFonts w:ascii="Times New Roman" w:eastAsia="Times New Roman" w:hAnsi="Times New Roman" w:cs="Times New Roman"/>
          <w:sz w:val="22"/>
          <w:szCs w:val="22"/>
        </w:rPr>
      </w:pPr>
    </w:p>
    <w:p w14:paraId="69BF5BB4" w14:textId="77777777" w:rsidR="00A615A6" w:rsidRDefault="00A92D00">
      <w:pPr>
        <w:numPr>
          <w:ilvl w:val="0"/>
          <w:numId w:val="2"/>
        </w:num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El Centro de Investigación y Desarrollo en Tecnologías de la Información y las Comunicaciones – CINTEL realiza proyectos de </w:t>
      </w:r>
      <w:r>
        <w:rPr>
          <w:rFonts w:ascii="Times New Roman" w:eastAsia="Times New Roman" w:hAnsi="Times New Roman" w:cs="Times New Roman"/>
          <w:sz w:val="22"/>
          <w:szCs w:val="22"/>
        </w:rPr>
        <w:t xml:space="preserve">Iniciativa por la equidad e inclusión de las mujeres en disciplinas STEAM </w:t>
      </w:r>
      <w:r>
        <w:rPr>
          <w:rFonts w:ascii="Times New Roman" w:eastAsia="Times New Roman" w:hAnsi="Times New Roman" w:cs="Times New Roman"/>
          <w:sz w:val="22"/>
          <w:szCs w:val="22"/>
          <w:highlight w:val="white"/>
        </w:rPr>
        <w:t xml:space="preserve">orientados a apoyar la transformación digital de las empresas públicas y privadas comprometido con el desarrollo y la transformación digital en Colombia, viene trabajando conjuntamente con las comunidades en esta iniciativa como un paso firme para impulsar la innovación tecnológica de las empresas desde un enfoque inclusivo y diverso, promoviendo la participación activa de mujeres en disciplinas STEAM. Esta acción busca no solo cerrar brechas, sino también fortalecer el liderazgo femenino como motor clave para el avance del sector TIC y su impacto en la sociedad. Para aportar al cambio, en el marco de </w:t>
      </w:r>
      <w:hyperlink r:id="rId16">
        <w:r>
          <w:rPr>
            <w:rFonts w:ascii="Times New Roman" w:eastAsia="Times New Roman" w:hAnsi="Times New Roman" w:cs="Times New Roman"/>
            <w:sz w:val="22"/>
            <w:szCs w:val="22"/>
            <w:highlight w:val="white"/>
            <w:u w:val="single"/>
          </w:rPr>
          <w:t>ANDICOM 2024</w:t>
        </w:r>
      </w:hyperlink>
      <w:r>
        <w:rPr>
          <w:rFonts w:ascii="Times New Roman" w:eastAsia="Times New Roman" w:hAnsi="Times New Roman" w:cs="Times New Roman"/>
          <w:sz w:val="22"/>
          <w:szCs w:val="22"/>
          <w:highlight w:val="white"/>
        </w:rPr>
        <w:t xml:space="preserve"> se llevó a cabo el Taller para la generación del Manifiesto por la equidad y la inclusión de las mujeres en disciplinas STEAM. Este espacio reunió a comunidades que trabajan activamente en el cierre de brechas de género, la promoción de la equidad y el liderazgo de las mujeres en áreas TIC y STEAM. A través de una metodología colaborativa, se identificaron los principales retos, oportunidades y compromisos necesarios para avanzar hacia una inclusión significativa en el sector. </w:t>
      </w:r>
    </w:p>
    <w:p w14:paraId="6D2E0A04" w14:textId="77777777" w:rsidR="00A615A6" w:rsidRDefault="00A615A6">
      <w:pPr>
        <w:spacing w:line="360" w:lineRule="auto"/>
        <w:ind w:right="-220"/>
        <w:jc w:val="both"/>
        <w:rPr>
          <w:rFonts w:ascii="Times New Roman" w:eastAsia="Times New Roman" w:hAnsi="Times New Roman" w:cs="Times New Roman"/>
          <w:sz w:val="22"/>
          <w:szCs w:val="22"/>
        </w:rPr>
      </w:pPr>
    </w:p>
    <w:p w14:paraId="1A431E70" w14:textId="77777777" w:rsidR="00A615A6" w:rsidRDefault="00A92D00">
      <w:pP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2.6. STEAM Distrital</w:t>
      </w:r>
    </w:p>
    <w:p w14:paraId="1BF36038"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62BEFA4A"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2.6.1. Desarrollo temporalidad </w:t>
      </w:r>
    </w:p>
    <w:p w14:paraId="5394E0B1" w14:textId="77777777" w:rsidR="00A615A6" w:rsidRDefault="00A615A6">
      <w:pPr>
        <w:spacing w:line="360" w:lineRule="auto"/>
        <w:ind w:right="-220"/>
        <w:jc w:val="both"/>
        <w:rPr>
          <w:rFonts w:ascii="Times New Roman" w:eastAsia="Times New Roman" w:hAnsi="Times New Roman" w:cs="Times New Roman"/>
          <w:sz w:val="22"/>
          <w:szCs w:val="22"/>
        </w:rPr>
      </w:pPr>
    </w:p>
    <w:p w14:paraId="117CD127" w14:textId="77777777" w:rsidR="00A615A6" w:rsidRDefault="00A92D00">
      <w:p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rPr>
        <w:t xml:space="preserve">En Bogotá como a nivel nacional se toma el concepto de STEAM  con la iniciativa de </w:t>
      </w:r>
      <w:r>
        <w:rPr>
          <w:rFonts w:ascii="Times New Roman" w:eastAsia="Times New Roman" w:hAnsi="Times New Roman" w:cs="Times New Roman"/>
          <w:sz w:val="22"/>
          <w:szCs w:val="22"/>
          <w:highlight w:val="white"/>
        </w:rPr>
        <w:t>la educación STEM (ciencias, tecnología, ingeniería y matemáticas por sus siglas en inglés) es una herramienta poderosa para potenciar las habilidades y la creatividad de las niñas, niños, jóvenes y adolescentes en áreas del conocimiento donde estará la mayor parte de oferta laboral del futuro.</w:t>
      </w:r>
      <w:r>
        <w:rPr>
          <w:rFonts w:ascii="Times New Roman" w:eastAsia="Times New Roman" w:hAnsi="Times New Roman" w:cs="Times New Roman"/>
          <w:color w:val="5A5A5A"/>
          <w:sz w:val="22"/>
          <w:szCs w:val="22"/>
          <w:highlight w:val="white"/>
        </w:rPr>
        <w:t xml:space="preserve"> </w:t>
      </w:r>
      <w:r>
        <w:rPr>
          <w:rFonts w:ascii="Times New Roman" w:eastAsia="Times New Roman" w:hAnsi="Times New Roman" w:cs="Times New Roman"/>
          <w:sz w:val="22"/>
          <w:szCs w:val="22"/>
          <w:highlight w:val="white"/>
        </w:rPr>
        <w:t>Bogotá Territorio STEM es una iniciativa de impacto colectivo, coordinada y articulada con múltiples actores de la ciudad, con la que se busca materializar el desarrollo de experiencias de aprendizaje con enfoque STEM, con el fin de generar transformaciones pedagógicas y posibilitar el desarrollo de las nuevas habilidades y competencias que requieren nuestros estudiantes para enfrentar eficazmente los desafíos del siglo XXI y de la cuarta revolución industrial (4RI).Este enfoque educativo promueve la enseñanza de las ciencias, la tecnología, la ingeniería y las matemáticas, mediante metodologías de aprendizaje activo, la conexión de la escuela con los problemas y necesidades de su entorno y la creación de soluciones, en diálogo permanente con las comunidades. (Secretaria de Educación, 2021)</w:t>
      </w:r>
      <w:r>
        <w:rPr>
          <w:rFonts w:ascii="Times New Roman" w:eastAsia="Times New Roman" w:hAnsi="Times New Roman" w:cs="Times New Roman"/>
          <w:sz w:val="22"/>
          <w:szCs w:val="22"/>
          <w:highlight w:val="white"/>
          <w:vertAlign w:val="superscript"/>
        </w:rPr>
        <w:footnoteReference w:id="47"/>
      </w:r>
    </w:p>
    <w:p w14:paraId="7C707964" w14:textId="77777777" w:rsidR="00A615A6" w:rsidRDefault="00A615A6">
      <w:pPr>
        <w:spacing w:line="360" w:lineRule="auto"/>
        <w:ind w:right="-220"/>
        <w:jc w:val="both"/>
        <w:rPr>
          <w:rFonts w:ascii="Times New Roman" w:eastAsia="Times New Roman" w:hAnsi="Times New Roman" w:cs="Times New Roman"/>
          <w:sz w:val="22"/>
          <w:szCs w:val="22"/>
          <w:highlight w:val="white"/>
        </w:rPr>
      </w:pPr>
    </w:p>
    <w:p w14:paraId="01EDE253" w14:textId="77777777" w:rsidR="00A615A6" w:rsidRDefault="00A92D00">
      <w:p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La construcción de Bogotá Territorio STEM inició con el trabajo conjunto entre el gobierno de la ciudad y diversos sectores, con el acompañamiento de la Fundación Siemens </w:t>
      </w:r>
      <w:proofErr w:type="spellStart"/>
      <w:r>
        <w:rPr>
          <w:rFonts w:ascii="Times New Roman" w:eastAsia="Times New Roman" w:hAnsi="Times New Roman" w:cs="Times New Roman"/>
          <w:sz w:val="22"/>
          <w:szCs w:val="22"/>
          <w:highlight w:val="white"/>
        </w:rPr>
        <w:t>Stiftung</w:t>
      </w:r>
      <w:proofErr w:type="spellEnd"/>
      <w:r>
        <w:rPr>
          <w:rFonts w:ascii="Times New Roman" w:eastAsia="Times New Roman" w:hAnsi="Times New Roman" w:cs="Times New Roman"/>
          <w:sz w:val="22"/>
          <w:szCs w:val="22"/>
          <w:highlight w:val="white"/>
        </w:rPr>
        <w:t xml:space="preserve"> y en el que han participado activamente organizaciones como:</w:t>
      </w:r>
    </w:p>
    <w:p w14:paraId="1E103A55" w14:textId="77777777" w:rsidR="00A615A6" w:rsidRDefault="00A92D00">
      <w:pPr>
        <w:spacing w:line="360" w:lineRule="auto"/>
        <w:ind w:right="-220"/>
        <w:jc w:val="both"/>
        <w:rPr>
          <w:rFonts w:ascii="Times New Roman" w:eastAsia="Times New Roman" w:hAnsi="Times New Roman" w:cs="Times New Roman"/>
          <w:b/>
          <w:sz w:val="22"/>
          <w:szCs w:val="22"/>
          <w:highlight w:val="white"/>
          <w:u w:val="single"/>
        </w:rPr>
      </w:pPr>
      <w:r>
        <w:rPr>
          <w:rFonts w:ascii="Times New Roman" w:eastAsia="Times New Roman" w:hAnsi="Times New Roman" w:cs="Times New Roman"/>
          <w:sz w:val="22"/>
          <w:szCs w:val="22"/>
          <w:highlight w:val="white"/>
        </w:rPr>
        <w:t>La Cámara de Comercio de Bogotá, la Universidad de la Sabana, la Corporación Universitaria Minuto de Dios, el Observatorio Colombiano de Ciencia y Tecnología, el Laboratorio de Innovación de Bogotá IBO, la Alta Consejería Distrital para las TIC, la Secretaría de Educación del Distrito, el Ministerio de Ciencia, Tecnología e Innovación, el Ministerio de Educación Nacional, la Fundación Corona, el Colegio Santa Francisca Romana, El Colegio de la Bici y el Liceo Femenino Mercedes Nariño. (Secretaria de Educación, 2021)La nueva etapa en la construcción del Territorio STEM en Bogotá que comienza con su declaratoria, convocará a más actores e iniciativas interesadas en aportar en esta visión de ciudad educada para el siglo XXI (Secretaría de Educación, 2021)</w:t>
      </w:r>
      <w:r>
        <w:rPr>
          <w:rFonts w:ascii="Times New Roman" w:eastAsia="Times New Roman" w:hAnsi="Times New Roman" w:cs="Times New Roman"/>
          <w:sz w:val="22"/>
          <w:szCs w:val="22"/>
          <w:highlight w:val="white"/>
          <w:vertAlign w:val="superscript"/>
        </w:rPr>
        <w:footnoteReference w:id="48"/>
      </w:r>
    </w:p>
    <w:p w14:paraId="6F9AA0DA" w14:textId="77777777" w:rsidR="00A615A6" w:rsidRDefault="00A92D00">
      <w:pPr>
        <w:spacing w:line="360" w:lineRule="auto"/>
        <w:ind w:right="-220"/>
        <w:jc w:val="both"/>
        <w:rPr>
          <w:rFonts w:ascii="Times New Roman" w:eastAsia="Times New Roman" w:hAnsi="Times New Roman" w:cs="Times New Roman"/>
          <w:sz w:val="22"/>
          <w:szCs w:val="22"/>
          <w:highlight w:val="yellow"/>
        </w:rPr>
      </w:pPr>
      <w:r>
        <w:rPr>
          <w:rFonts w:ascii="Times New Roman" w:eastAsia="Times New Roman" w:hAnsi="Times New Roman" w:cs="Times New Roman"/>
          <w:b/>
          <w:sz w:val="22"/>
          <w:szCs w:val="22"/>
          <w:u w:val="single"/>
        </w:rPr>
        <w:t>2.6.2. Inversión y retribución.</w:t>
      </w:r>
    </w:p>
    <w:p w14:paraId="1A19B11A"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En Bogotá, las actividades relacionadas con STEAM (Ciencia, Tecnología, Ingeniería, Artes y Matemáticas) han registrado un impacto económico considerable. Según datos del Ministerio de Educación, en 2020 se destinaron cerca de 1.000 millones de pesos a la formación de 23.869 docentes en disciplinas relacionadas, mientras que en 2021 la inversión superó los 3.000 millones de pesos para capacitar a 12.871 maestros y beneficiar a más de 212.000 estudiantes en toda la nación. Estos esfuerzos reflejan un aumento en los recursos dirigidos hacia el desarrollo de habilidades tecnológicas y científicas esenciales para la economía del futuro. (Ministerio de </w:t>
      </w:r>
      <w:proofErr w:type="spellStart"/>
      <w:r>
        <w:rPr>
          <w:rFonts w:ascii="Times New Roman" w:eastAsia="Times New Roman" w:hAnsi="Times New Roman" w:cs="Times New Roman"/>
          <w:sz w:val="22"/>
          <w:szCs w:val="22"/>
        </w:rPr>
        <w:t>Educacion</w:t>
      </w:r>
      <w:proofErr w:type="spellEnd"/>
      <w:r>
        <w:rPr>
          <w:rFonts w:ascii="Times New Roman" w:eastAsia="Times New Roman" w:hAnsi="Times New Roman" w:cs="Times New Roman"/>
          <w:sz w:val="22"/>
          <w:szCs w:val="22"/>
        </w:rPr>
        <w:t>, 2021)</w:t>
      </w:r>
      <w:r>
        <w:rPr>
          <w:rFonts w:ascii="Times New Roman" w:eastAsia="Times New Roman" w:hAnsi="Times New Roman" w:cs="Times New Roman"/>
          <w:sz w:val="22"/>
          <w:szCs w:val="22"/>
          <w:vertAlign w:val="superscript"/>
        </w:rPr>
        <w:footnoteReference w:id="49"/>
      </w:r>
    </w:p>
    <w:p w14:paraId="66ABE71E"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sector de los videojuegos, que forma parte integral de las disciplinas STEAM, es otro campo de alto impacto económico en el país. Durante 2022, las exportaciones de videojuegos generaron ingresos por 1,15 millones de dólares, con Bogotá contribuyendo al 57% de estas exportaciones. Este crecimiento es un indicador de cómo las industrias creativas vinculadas con la tecnología están consolidándose como pilares de la economía tanto en la ciudad como a nivel nacional (La República, 2022)</w:t>
      </w:r>
      <w:r>
        <w:rPr>
          <w:rFonts w:ascii="Times New Roman" w:eastAsia="Times New Roman" w:hAnsi="Times New Roman" w:cs="Times New Roman"/>
          <w:sz w:val="22"/>
          <w:szCs w:val="22"/>
          <w:vertAlign w:val="superscript"/>
        </w:rPr>
        <w:footnoteReference w:id="50"/>
      </w:r>
      <w:r>
        <w:rPr>
          <w:rFonts w:ascii="Times New Roman" w:eastAsia="Times New Roman" w:hAnsi="Times New Roman" w:cs="Times New Roman"/>
          <w:sz w:val="22"/>
          <w:szCs w:val="22"/>
        </w:rPr>
        <w:t>-</w:t>
      </w:r>
    </w:p>
    <w:p w14:paraId="6BCE5E56"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 nivel nacional, las industrias creativas, incluidas las áreas STEAM, representan una parte significativa de la economía. Estas actividades aportan 124.000 millones de dólares en América Latina, equivalentes al 2,2% del PIB regional, y generan empleo para 1,9 millones de personas. En Colombia, Bogotá es la principal ciudad que impulsa estas cifras, posicionándose como un centro de innovación tecnológica y desarrollo artístico (BID, 2021)</w:t>
      </w:r>
      <w:r>
        <w:rPr>
          <w:rFonts w:ascii="Times New Roman" w:eastAsia="Times New Roman" w:hAnsi="Times New Roman" w:cs="Times New Roman"/>
          <w:sz w:val="22"/>
          <w:szCs w:val="22"/>
          <w:vertAlign w:val="superscript"/>
        </w:rPr>
        <w:footnoteReference w:id="51"/>
      </w:r>
    </w:p>
    <w:p w14:paraId="6705ED6B"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Por otro lado, el sector tecnológico en Bogotá ha sido destacado como uno de los más prometedores en términos de empleo y desarrollo económico. Un informe reciente del BID señala que el crecimiento en empleo relacionado con tecnología y ciencia en Bogotá superó el promedio nacional, evidenciando la importancia de la ciudad como un eje de desarrollo en disciplinas STEAM. Además, la ciudad concentra más del 50% de las empresas tecnológicas del país, lo que consolida su posición estratégica (BID, 2023)</w:t>
      </w:r>
      <w:r>
        <w:rPr>
          <w:rFonts w:ascii="Times New Roman" w:eastAsia="Times New Roman" w:hAnsi="Times New Roman" w:cs="Times New Roman"/>
          <w:sz w:val="22"/>
          <w:szCs w:val="22"/>
          <w:vertAlign w:val="superscript"/>
        </w:rPr>
        <w:footnoteReference w:id="52"/>
      </w:r>
    </w:p>
    <w:p w14:paraId="69721C87"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el ámbito educativo, Bogotá invierte continuamente en infraestructura tecnológica y digital para sus instituciones educativas. Durante el último lustro, se han destinado más de 10.000 millones de pesos para equipar colegios públicos con laboratorios y herramientas digitales que permitan a los estudiantes explorar disciplinas STEAM. Esto no solo fomenta el aprendizaje práctico sino también impulsa la generación de talento en áreas clave para la competitividad del país (Alcaldía de Bogotá, 2020)</w:t>
      </w:r>
      <w:r>
        <w:rPr>
          <w:rFonts w:ascii="Times New Roman" w:eastAsia="Times New Roman" w:hAnsi="Times New Roman" w:cs="Times New Roman"/>
          <w:sz w:val="22"/>
          <w:szCs w:val="22"/>
          <w:vertAlign w:val="superscript"/>
        </w:rPr>
        <w:footnoteReference w:id="53"/>
      </w:r>
      <w:r>
        <w:rPr>
          <w:rFonts w:ascii="Times New Roman" w:eastAsia="Times New Roman" w:hAnsi="Times New Roman" w:cs="Times New Roman"/>
          <w:sz w:val="22"/>
          <w:szCs w:val="22"/>
        </w:rPr>
        <w:t>.</w:t>
      </w:r>
    </w:p>
    <w:p w14:paraId="59BD4E25"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Finalmente, las industrias relacionadas con STEAM tienen un impacto significativo en la generación de empleo. En Bogotá, el sector tecnológico emplea a más de 250.000 personas, con un crecimiento anual promedio del 7%. Estas cifras muestran el potencial del sector como motor de desarrollo económico, social y educativo, y reflejan la necesidad de seguir invirtiendo en áreas que potencien las capacidades de la población joven y trabajadora (OLE, 2023)</w:t>
      </w:r>
      <w:r>
        <w:rPr>
          <w:rFonts w:ascii="Times New Roman" w:eastAsia="Times New Roman" w:hAnsi="Times New Roman" w:cs="Times New Roman"/>
          <w:sz w:val="22"/>
          <w:szCs w:val="22"/>
          <w:vertAlign w:val="superscript"/>
        </w:rPr>
        <w:footnoteReference w:id="54"/>
      </w:r>
      <w:r>
        <w:rPr>
          <w:rFonts w:ascii="Times New Roman" w:eastAsia="Times New Roman" w:hAnsi="Times New Roman" w:cs="Times New Roman"/>
          <w:sz w:val="22"/>
          <w:szCs w:val="22"/>
        </w:rPr>
        <w:t>.</w:t>
      </w:r>
    </w:p>
    <w:p w14:paraId="4E6BB8E2" w14:textId="77777777" w:rsidR="00A615A6" w:rsidRDefault="00A615A6">
      <w:pPr>
        <w:spacing w:line="360" w:lineRule="auto"/>
        <w:ind w:right="-220"/>
        <w:jc w:val="both"/>
        <w:rPr>
          <w:rFonts w:ascii="Times New Roman" w:eastAsia="Times New Roman" w:hAnsi="Times New Roman" w:cs="Times New Roman"/>
          <w:sz w:val="22"/>
          <w:szCs w:val="22"/>
        </w:rPr>
      </w:pPr>
    </w:p>
    <w:p w14:paraId="15A08EF8"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2.6.3. Participación de mujeres</w:t>
      </w:r>
    </w:p>
    <w:p w14:paraId="4B9983E7" w14:textId="77777777" w:rsidR="00A615A6" w:rsidRDefault="00A92D00">
      <w:pPr>
        <w:spacing w:before="220" w:after="220" w:line="360" w:lineRule="auto"/>
        <w:ind w:right="-220"/>
        <w:jc w:val="both"/>
        <w:rPr>
          <w:rFonts w:ascii="Times New Roman" w:eastAsia="Times New Roman" w:hAnsi="Times New Roman" w:cs="Times New Roman"/>
          <w:sz w:val="22"/>
          <w:szCs w:val="22"/>
          <w:highlight w:val="yellow"/>
        </w:rPr>
      </w:pPr>
      <w:r>
        <w:rPr>
          <w:rFonts w:ascii="Times New Roman" w:eastAsia="Times New Roman" w:hAnsi="Times New Roman" w:cs="Times New Roman"/>
          <w:sz w:val="22"/>
          <w:szCs w:val="22"/>
        </w:rPr>
        <w:t xml:space="preserve">Se evidencia que existe una mayor participación de las mujeres jóvenes en la inactividad, que los hombres, esto asociado en su mayoría al cuidado y actividades del hogar, representando el 76% de quienes se dedican a estas actividades, no necesariamente por voluntad, limitando el tiempo que pueden dedicar a oportunidades de formación y empleo y que en la mayoría de los casos no son </w:t>
      </w:r>
      <w:proofErr w:type="spellStart"/>
      <w:r>
        <w:rPr>
          <w:rFonts w:ascii="Times New Roman" w:eastAsia="Times New Roman" w:hAnsi="Times New Roman" w:cs="Times New Roman"/>
          <w:sz w:val="22"/>
          <w:szCs w:val="22"/>
        </w:rPr>
        <w:t>remuneradas.Esta</w:t>
      </w:r>
      <w:proofErr w:type="spellEnd"/>
      <w:r>
        <w:rPr>
          <w:rFonts w:ascii="Times New Roman" w:eastAsia="Times New Roman" w:hAnsi="Times New Roman" w:cs="Times New Roman"/>
          <w:sz w:val="22"/>
          <w:szCs w:val="22"/>
        </w:rPr>
        <w:t xml:space="preserve"> situación que afecta de manera diferencial a las mujeres refuerza la existencia de barreras de género en el acceso a oportunidades, que inician desde edades tempranas en las que la dedicación a actividades del hogar y del cuidado incide en las trayectorias de educación desde la etapa escolar y que se amplían hasta condicionar las trayectorias de las mujeres a la inactividad (</w:t>
      </w:r>
      <w:r>
        <w:rPr>
          <w:rFonts w:ascii="Times New Roman" w:eastAsia="Times New Roman" w:hAnsi="Times New Roman" w:cs="Times New Roman"/>
          <w:sz w:val="22"/>
          <w:szCs w:val="22"/>
          <w:shd w:val="clear" w:color="auto" w:fill="F8F9FA"/>
        </w:rPr>
        <w:t>Fundación Corona,2022)</w:t>
      </w:r>
      <w:r>
        <w:rPr>
          <w:rFonts w:ascii="Times New Roman" w:eastAsia="Times New Roman" w:hAnsi="Times New Roman" w:cs="Times New Roman"/>
          <w:sz w:val="22"/>
          <w:szCs w:val="22"/>
          <w:shd w:val="clear" w:color="auto" w:fill="F8F9FA"/>
          <w:vertAlign w:val="superscript"/>
        </w:rPr>
        <w:footnoteReference w:id="55"/>
      </w:r>
      <w:r>
        <w:rPr>
          <w:rFonts w:ascii="Times New Roman" w:eastAsia="Times New Roman" w:hAnsi="Times New Roman" w:cs="Times New Roman"/>
          <w:sz w:val="22"/>
          <w:szCs w:val="22"/>
          <w:shd w:val="clear" w:color="auto" w:fill="F8F9FA"/>
        </w:rPr>
        <w:t>.</w:t>
      </w:r>
    </w:p>
    <w:p w14:paraId="5B661D84"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2.6.4. STEAM desde la infancia, juventud y adolescencia (colegios), resolución de problemas</w:t>
      </w:r>
    </w:p>
    <w:p w14:paraId="778740AB" w14:textId="77777777" w:rsidR="00A615A6" w:rsidRDefault="00A615A6">
      <w:pPr>
        <w:spacing w:line="360" w:lineRule="auto"/>
        <w:ind w:right="-220"/>
        <w:jc w:val="both"/>
        <w:rPr>
          <w:rFonts w:ascii="Times New Roman" w:eastAsia="Times New Roman" w:hAnsi="Times New Roman" w:cs="Times New Roman"/>
          <w:b/>
          <w:sz w:val="22"/>
          <w:szCs w:val="22"/>
          <w:u w:val="single"/>
        </w:rPr>
      </w:pPr>
    </w:p>
    <w:p w14:paraId="1AC8D9A8" w14:textId="77777777" w:rsidR="00A615A6" w:rsidRDefault="00A92D00">
      <w:pPr>
        <w:pStyle w:val="Ttulo1"/>
        <w:keepNext w:val="0"/>
        <w:shd w:val="clear" w:color="auto" w:fill="FFFFFF"/>
        <w:spacing w:after="120" w:line="288" w:lineRule="auto"/>
        <w:ind w:right="-220"/>
        <w:jc w:val="both"/>
        <w:rPr>
          <w:sz w:val="22"/>
          <w:szCs w:val="22"/>
        </w:rPr>
      </w:pPr>
      <w:bookmarkStart w:id="9" w:name="_heading=h.eqzouymz3uuz" w:colFirst="0" w:colLast="0"/>
      <w:bookmarkEnd w:id="9"/>
      <w:r>
        <w:rPr>
          <w:sz w:val="22"/>
          <w:szCs w:val="22"/>
        </w:rPr>
        <w:t>Potenciar aspectos emocionales en los estudiantes forma parte fundamental del proceso de enseñanza y aprendizaje ya que permite generar habilidades como la socialización, la integración y la diversidad de opiniones y elementos que generan unas bases con criterios y argumentos para que a lo largo de su proceso formativo, social y emocional el estudiante sea un ser integro. La Actividad Tecnológica escolar  cómo unidad didáctica permitió mejorar las habilidades blandas de trabajo en equipo y alteridad en los estudiantes que interactuaron con el instrumento. Implementar una actividad tecnológica escolar con enfoque CTS-</w:t>
      </w:r>
      <w:proofErr w:type="spellStart"/>
      <w:r>
        <w:rPr>
          <w:sz w:val="22"/>
          <w:szCs w:val="22"/>
        </w:rPr>
        <w:t>Ciencia,Tecnología</w:t>
      </w:r>
      <w:proofErr w:type="spellEnd"/>
      <w:r>
        <w:rPr>
          <w:sz w:val="22"/>
          <w:szCs w:val="22"/>
        </w:rPr>
        <w:t xml:space="preserve"> y Sociedad  con los estudiantes del grado noveno del Colegio CELCO San Lucas permitió el desarrollo de habilidades blandas de trabajo en equipo y alteridad. (UNIVERSIDAD DISTRITAL FRANCISCO JOSÉ DE CALDAS, 2021)</w:t>
      </w:r>
      <w:r>
        <w:rPr>
          <w:sz w:val="22"/>
          <w:szCs w:val="22"/>
          <w:vertAlign w:val="superscript"/>
        </w:rPr>
        <w:footnoteReference w:id="56"/>
      </w:r>
    </w:p>
    <w:p w14:paraId="2652CD7C" w14:textId="77777777" w:rsidR="00A615A6" w:rsidRDefault="00A92D00">
      <w:pPr>
        <w:pStyle w:val="Ttulo1"/>
        <w:keepNext w:val="0"/>
        <w:shd w:val="clear" w:color="auto" w:fill="FFFFFF"/>
        <w:spacing w:after="120" w:line="288" w:lineRule="auto"/>
        <w:ind w:right="-220"/>
        <w:jc w:val="both"/>
        <w:rPr>
          <w:sz w:val="22"/>
          <w:szCs w:val="22"/>
          <w:highlight w:val="white"/>
        </w:rPr>
      </w:pPr>
      <w:bookmarkStart w:id="10" w:name="_heading=h.3b0mwg2om3po" w:colFirst="0" w:colLast="0"/>
      <w:bookmarkEnd w:id="10"/>
      <w:r>
        <w:rPr>
          <w:sz w:val="22"/>
          <w:szCs w:val="22"/>
        </w:rPr>
        <w:t xml:space="preserve">Más de 250 colegios distritales están revolucionando sus aulas con el enfoque STEM la Secretaría de Educación realizó el cierre 2022 del Plan Saber Digital 4.0 STEM + Transforma. El </w:t>
      </w:r>
      <w:r>
        <w:rPr>
          <w:sz w:val="22"/>
          <w:szCs w:val="22"/>
          <w:highlight w:val="white"/>
        </w:rPr>
        <w:t xml:space="preserve">aprendizaje con enfoque STEM/STEAM en la capital de Colombia, reconoce y visibiliza la labor de las y los docentes que trabajan en las transformaciones pedagógicas mediante diferentes estrategias comunicativas. Se impulsa la apropiación a gran escala del conocimiento científico, sin dejar de lado las habilidades blandas por medio de laboratorios STEM, en los que se abordan temáticas como robótica, radio y televisión, programación, talleres vocacionales, entre otros. El STEAM no sólo motiva a la creación de redes colaborativas y al descubrimiento e implementación de nuevas experiencias pedagógicas, sino que también impacta positivamente en los proyectos de vida personales de las y los estudiantes, encaminado a nuevas profesiones con las cuales aportarán a un mejor </w:t>
      </w:r>
      <w:proofErr w:type="spellStart"/>
      <w:r>
        <w:rPr>
          <w:sz w:val="22"/>
          <w:szCs w:val="22"/>
          <w:highlight w:val="white"/>
        </w:rPr>
        <w:t>futuro.Con</w:t>
      </w:r>
      <w:proofErr w:type="spellEnd"/>
      <w:r>
        <w:rPr>
          <w:sz w:val="22"/>
          <w:szCs w:val="22"/>
          <w:highlight w:val="white"/>
        </w:rPr>
        <w:t xml:space="preserve"> la ciencia y la tecnología descubrimos gustos que no conocíamos, e intentamos desarrollar mecanismos para solucionar problemas que se presentan en la cotidianidad”, mencionó Santiago Acevedo, estudiante de 8º del colegio Bilbao (Secretaria de Educación, 2022)</w:t>
      </w:r>
      <w:r>
        <w:rPr>
          <w:sz w:val="22"/>
          <w:szCs w:val="22"/>
          <w:highlight w:val="white"/>
          <w:vertAlign w:val="superscript"/>
        </w:rPr>
        <w:footnoteReference w:id="57"/>
      </w:r>
      <w:r>
        <w:rPr>
          <w:sz w:val="22"/>
          <w:szCs w:val="22"/>
          <w:highlight w:val="white"/>
        </w:rPr>
        <w:br/>
      </w:r>
    </w:p>
    <w:p w14:paraId="51A1E483" w14:textId="77777777" w:rsidR="00A615A6" w:rsidRDefault="00A92D00">
      <w:pPr>
        <w:spacing w:line="360" w:lineRule="auto"/>
        <w:ind w:right="-220"/>
        <w:jc w:val="both"/>
        <w:rPr>
          <w:rFonts w:ascii="Times New Roman" w:eastAsia="Times New Roman" w:hAnsi="Times New Roman" w:cs="Times New Roman"/>
          <w:b/>
          <w:sz w:val="22"/>
          <w:szCs w:val="22"/>
          <w:highlight w:val="white"/>
          <w:u w:val="single"/>
        </w:rPr>
      </w:pPr>
      <w:r>
        <w:rPr>
          <w:rFonts w:ascii="Times New Roman" w:eastAsia="Times New Roman" w:hAnsi="Times New Roman" w:cs="Times New Roman"/>
          <w:b/>
          <w:sz w:val="22"/>
          <w:szCs w:val="22"/>
          <w:highlight w:val="white"/>
          <w:u w:val="single"/>
        </w:rPr>
        <w:t xml:space="preserve">2.6.5. </w:t>
      </w:r>
      <w:proofErr w:type="spellStart"/>
      <w:r>
        <w:rPr>
          <w:rFonts w:ascii="Times New Roman" w:eastAsia="Times New Roman" w:hAnsi="Times New Roman" w:cs="Times New Roman"/>
          <w:b/>
          <w:sz w:val="22"/>
          <w:szCs w:val="22"/>
          <w:highlight w:val="white"/>
          <w:u w:val="single"/>
        </w:rPr>
        <w:t>Steam</w:t>
      </w:r>
      <w:proofErr w:type="spellEnd"/>
      <w:r>
        <w:rPr>
          <w:rFonts w:ascii="Times New Roman" w:eastAsia="Times New Roman" w:hAnsi="Times New Roman" w:cs="Times New Roman"/>
          <w:b/>
          <w:sz w:val="22"/>
          <w:szCs w:val="22"/>
          <w:highlight w:val="white"/>
          <w:u w:val="single"/>
        </w:rPr>
        <w:t xml:space="preserve"> en ruralidad </w:t>
      </w:r>
    </w:p>
    <w:p w14:paraId="4AC866F5" w14:textId="77777777" w:rsidR="00A615A6" w:rsidRDefault="00A615A6">
      <w:pPr>
        <w:spacing w:line="360" w:lineRule="auto"/>
        <w:ind w:right="-220"/>
        <w:jc w:val="both"/>
        <w:rPr>
          <w:rFonts w:ascii="Times New Roman" w:eastAsia="Times New Roman" w:hAnsi="Times New Roman" w:cs="Times New Roman"/>
          <w:sz w:val="22"/>
          <w:szCs w:val="22"/>
        </w:rPr>
      </w:pPr>
    </w:p>
    <w:p w14:paraId="05229807" w14:textId="77777777" w:rsidR="00A615A6" w:rsidRDefault="00A92D00">
      <w:pPr>
        <w:spacing w:line="360" w:lineRule="auto"/>
        <w:ind w:right="-220"/>
        <w:jc w:val="both"/>
        <w:rPr>
          <w:rFonts w:ascii="Times New Roman" w:eastAsia="Times New Roman" w:hAnsi="Times New Roman" w:cs="Times New Roman"/>
          <w:sz w:val="22"/>
          <w:szCs w:val="22"/>
          <w:highlight w:val="yellow"/>
        </w:rPr>
      </w:pPr>
      <w:r>
        <w:rPr>
          <w:rFonts w:ascii="Times New Roman" w:eastAsia="Times New Roman" w:hAnsi="Times New Roman" w:cs="Times New Roman"/>
          <w:sz w:val="22"/>
          <w:szCs w:val="22"/>
          <w:highlight w:val="white"/>
        </w:rPr>
        <w:t xml:space="preserve">En Bogotá hay 28 colegios rurales ubicados en 8 localidades: Suba, Ciudad Bolívar, Santa Fe, Usme, Sumapaz, Chapinero, San Cristóbal y Usaquén. Estas instituciones atienden a 15.252 mil estudiantes y cuentan con 1.431 docentes </w:t>
      </w:r>
      <w:proofErr w:type="spellStart"/>
      <w:r>
        <w:rPr>
          <w:rFonts w:ascii="Times New Roman" w:eastAsia="Times New Roman" w:hAnsi="Times New Roman" w:cs="Times New Roman"/>
          <w:sz w:val="22"/>
          <w:szCs w:val="22"/>
          <w:highlight w:val="white"/>
        </w:rPr>
        <w:t>rurales.Teniendo</w:t>
      </w:r>
      <w:proofErr w:type="spellEnd"/>
      <w:r>
        <w:rPr>
          <w:rFonts w:ascii="Times New Roman" w:eastAsia="Times New Roman" w:hAnsi="Times New Roman" w:cs="Times New Roman"/>
          <w:sz w:val="22"/>
          <w:szCs w:val="22"/>
          <w:highlight w:val="white"/>
        </w:rPr>
        <w:t xml:space="preserve"> en cuenta la diversidad y particularidad de cada localidad, la Universidad Nacional realizó una caracterización socioeconómica de las comunidades educativas de algunos territorios rurales de </w:t>
      </w:r>
      <w:proofErr w:type="spellStart"/>
      <w:r>
        <w:rPr>
          <w:rFonts w:ascii="Times New Roman" w:eastAsia="Times New Roman" w:hAnsi="Times New Roman" w:cs="Times New Roman"/>
          <w:sz w:val="22"/>
          <w:szCs w:val="22"/>
          <w:highlight w:val="white"/>
        </w:rPr>
        <w:t>Bogotá.Por</w:t>
      </w:r>
      <w:proofErr w:type="spellEnd"/>
      <w:r>
        <w:rPr>
          <w:rFonts w:ascii="Times New Roman" w:eastAsia="Times New Roman" w:hAnsi="Times New Roman" w:cs="Times New Roman"/>
          <w:sz w:val="22"/>
          <w:szCs w:val="22"/>
          <w:highlight w:val="white"/>
        </w:rPr>
        <w:t xml:space="preserve"> ejemplo, las cifras de reprobación escolar es mayor en los contextos rurales (2,81 %) que en las zonas urbanas (0,84 %). Además, las brechas de género son más pronunciadas en la ruralidad en todos los niveles educativos. Mientras en la ciudad el 51 % de mujeres están matriculadas en educación media (frente al 47,7 % de hombres); en el campo la cifra de mujeres matriculadas se reduce al 48, 4% (frente al 52,3 % de hombres). (Secretaria de Educación, 2021)</w:t>
      </w:r>
      <w:r>
        <w:rPr>
          <w:rFonts w:ascii="Times New Roman" w:eastAsia="Times New Roman" w:hAnsi="Times New Roman" w:cs="Times New Roman"/>
          <w:sz w:val="22"/>
          <w:szCs w:val="22"/>
          <w:highlight w:val="white"/>
          <w:vertAlign w:val="superscript"/>
        </w:rPr>
        <w:footnoteReference w:id="58"/>
      </w:r>
    </w:p>
    <w:p w14:paraId="1B2F01E9" w14:textId="77777777" w:rsidR="00A615A6" w:rsidRDefault="00A615A6">
      <w:pPr>
        <w:spacing w:line="360" w:lineRule="auto"/>
        <w:ind w:right="-220"/>
        <w:jc w:val="both"/>
        <w:rPr>
          <w:rFonts w:ascii="Times New Roman" w:eastAsia="Times New Roman" w:hAnsi="Times New Roman" w:cs="Times New Roman"/>
          <w:sz w:val="22"/>
          <w:szCs w:val="22"/>
        </w:rPr>
      </w:pPr>
    </w:p>
    <w:p w14:paraId="7569186A" w14:textId="77777777" w:rsidR="00A615A6" w:rsidRDefault="00A92D00">
      <w:pPr>
        <w:spacing w:line="360" w:lineRule="auto"/>
        <w:ind w:right="-220"/>
        <w:jc w:val="both"/>
        <w:rPr>
          <w:rFonts w:ascii="Times New Roman" w:eastAsia="Times New Roman" w:hAnsi="Times New Roman" w:cs="Times New Roman"/>
          <w:b/>
          <w:sz w:val="22"/>
          <w:szCs w:val="22"/>
          <w:u w:val="single"/>
        </w:rPr>
      </w:pPr>
      <w:r>
        <w:rPr>
          <w:rFonts w:ascii="Times New Roman" w:eastAsia="Times New Roman" w:hAnsi="Times New Roman" w:cs="Times New Roman"/>
          <w:b/>
          <w:sz w:val="22"/>
          <w:szCs w:val="22"/>
          <w:u w:val="single"/>
        </w:rPr>
        <w:t xml:space="preserve">2.6.6. </w:t>
      </w:r>
      <w:proofErr w:type="spellStart"/>
      <w:r>
        <w:rPr>
          <w:rFonts w:ascii="Times New Roman" w:eastAsia="Times New Roman" w:hAnsi="Times New Roman" w:cs="Times New Roman"/>
          <w:b/>
          <w:sz w:val="22"/>
          <w:szCs w:val="22"/>
          <w:u w:val="single"/>
        </w:rPr>
        <w:t>Steam</w:t>
      </w:r>
      <w:proofErr w:type="spellEnd"/>
      <w:r>
        <w:rPr>
          <w:rFonts w:ascii="Times New Roman" w:eastAsia="Times New Roman" w:hAnsi="Times New Roman" w:cs="Times New Roman"/>
          <w:b/>
          <w:sz w:val="22"/>
          <w:szCs w:val="22"/>
          <w:u w:val="single"/>
        </w:rPr>
        <w:t xml:space="preserve"> comunidades vulnerables</w:t>
      </w:r>
    </w:p>
    <w:p w14:paraId="5BDA935E" w14:textId="77777777" w:rsidR="00A615A6" w:rsidRDefault="00A615A6">
      <w:pPr>
        <w:spacing w:line="360" w:lineRule="auto"/>
        <w:ind w:right="-220"/>
        <w:jc w:val="both"/>
        <w:rPr>
          <w:rFonts w:ascii="Times New Roman" w:eastAsia="Times New Roman" w:hAnsi="Times New Roman" w:cs="Times New Roman"/>
          <w:sz w:val="22"/>
          <w:szCs w:val="22"/>
        </w:rPr>
      </w:pPr>
    </w:p>
    <w:p w14:paraId="6B545689"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Informe 2022 “Jóvenes con Potencial: Retos, Avances y Recomendaciones en la Generación de Oportunidades para Jóvenes con Potencial en Bogotá”, que tiene como fin visibilizar las problemáticas a las que se enfrentan la población joven al intentar acceder y culminar la trayectoria desde la educación, hasta el empleo, analizan los porcentajes de jóvenes que no accede a estas oportunidades presenta un aumento progresivo, pasando del 34% en 2018 a 37% en 2022. En Bogotá actualmente se estima que viven casi 1 millón 900 mil jóvenes que representan cerca del 16% de la población joven del país y el 25% de la población de la ciudad. Aproximadamente 1 millón 800 mil son jóvenes se encuentran en edad de trabajar, sin embargo, el 37% están excluidos de las oportunidades de formación y empleo formal, representando más o menos a 671 mil jóvenes que ven limitado su bienestar y calidad de vida. (Fundación Corona,2022)</w:t>
      </w:r>
      <w:r>
        <w:rPr>
          <w:rFonts w:ascii="Times New Roman" w:eastAsia="Times New Roman" w:hAnsi="Times New Roman" w:cs="Times New Roman"/>
          <w:sz w:val="22"/>
          <w:szCs w:val="22"/>
          <w:vertAlign w:val="superscript"/>
        </w:rPr>
        <w:footnoteReference w:id="59"/>
      </w:r>
    </w:p>
    <w:p w14:paraId="1D88BA5C" w14:textId="77777777" w:rsidR="00A615A6" w:rsidRDefault="00A615A6">
      <w:pPr>
        <w:spacing w:line="360" w:lineRule="auto"/>
        <w:ind w:right="-220"/>
        <w:jc w:val="both"/>
        <w:rPr>
          <w:rFonts w:ascii="Times New Roman" w:eastAsia="Times New Roman" w:hAnsi="Times New Roman" w:cs="Times New Roman"/>
          <w:b/>
          <w:sz w:val="22"/>
          <w:szCs w:val="22"/>
        </w:rPr>
      </w:pPr>
    </w:p>
    <w:p w14:paraId="2162272D" w14:textId="77777777" w:rsidR="00A615A6" w:rsidRDefault="00A92D00">
      <w:pP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2.6.7. Casos de éxito en relación a la normativa propuesta. </w:t>
      </w:r>
    </w:p>
    <w:p w14:paraId="4D85B553" w14:textId="77777777" w:rsidR="00A615A6" w:rsidRDefault="00A615A6">
      <w:pPr>
        <w:spacing w:line="360" w:lineRule="auto"/>
        <w:ind w:right="-220"/>
        <w:jc w:val="both"/>
        <w:rPr>
          <w:rFonts w:ascii="Times New Roman" w:eastAsia="Times New Roman" w:hAnsi="Times New Roman" w:cs="Times New Roman"/>
          <w:sz w:val="22"/>
          <w:szCs w:val="22"/>
        </w:rPr>
      </w:pPr>
    </w:p>
    <w:p w14:paraId="1D8A1209" w14:textId="77777777" w:rsidR="00A615A6" w:rsidRDefault="00A92D00">
      <w:pPr>
        <w:numPr>
          <w:ilvl w:val="0"/>
          <w:numId w:val="3"/>
        </w:numPr>
        <w:shd w:val="clear" w:color="auto" w:fill="FFFFFF"/>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Culminan con éxito dos estrategias que han contribuido al fortalecimiento del ecosistema de la educación STEM en Bogotá, que se articulan a partir del trabajo en las aulas para alcanzar los cinco objetivos propuestos en la </w:t>
      </w:r>
      <w:proofErr w:type="spellStart"/>
      <w:r>
        <w:rPr>
          <w:rFonts w:ascii="Times New Roman" w:eastAsia="Times New Roman" w:hAnsi="Times New Roman" w:cs="Times New Roman"/>
          <w:sz w:val="22"/>
          <w:szCs w:val="22"/>
        </w:rPr>
        <w:t>declaratoria.Estas</w:t>
      </w:r>
      <w:proofErr w:type="spellEnd"/>
      <w:r>
        <w:rPr>
          <w:rFonts w:ascii="Times New Roman" w:eastAsia="Times New Roman" w:hAnsi="Times New Roman" w:cs="Times New Roman"/>
          <w:sz w:val="22"/>
          <w:szCs w:val="22"/>
        </w:rPr>
        <w:t xml:space="preserve"> estrategias son desarrolladas por la Secretaría de Educación del Distrito en alianza con el Instituto UNNO de UNIMINUTO. El Plan Saber Digital 4.0 logró la conformación de 252 comunidades de aprendizaje en 215 IED de las 20 localidades de Bogotá, en las cuales participaron 215 directivos, 14.608 estudiantes, 633 docentes y 230 padres, madres o cuidadores. El encuentro de clausura se llevó a cabo el 15 de noviembre, a este asistieron las comunidades educativas de las 25 IED más destacadas para compartir y celebrar los logros alcanzados durante este año con la estrategia. En este espacio se reconoció el trabajo de los docentes que se comprometieron con sus estudiantes en la transformación de sus prácticas pedagógicas con la apropiación del enfoque STEM para lograr altos estándares educativos; el de los padres, madres o cuidadores que apoyaron el recorrido de sus hijos e hijas y, sin duda alguna; el de las directivas que han creído en la consolidación de nuevas propuestas de trabajo institucionales sostenibles, las cuales impactarán positivamente en los proyectos de vida personales de los estudiantes para encaminarlos a nuevas profesiones con las cuales aportarán a un mejor futuro para todos y todas(RA 2.0, 2023)</w:t>
      </w:r>
      <w:r>
        <w:rPr>
          <w:rFonts w:ascii="Times New Roman" w:eastAsia="Times New Roman" w:hAnsi="Times New Roman" w:cs="Times New Roman"/>
          <w:sz w:val="22"/>
          <w:szCs w:val="22"/>
          <w:vertAlign w:val="superscript"/>
        </w:rPr>
        <w:footnoteReference w:id="60"/>
      </w:r>
      <w:r>
        <w:rPr>
          <w:rFonts w:ascii="Times New Roman" w:eastAsia="Times New Roman" w:hAnsi="Times New Roman" w:cs="Times New Roman"/>
          <w:sz w:val="22"/>
          <w:szCs w:val="22"/>
        </w:rPr>
        <w:t>.</w:t>
      </w:r>
      <w:r>
        <w:rPr>
          <w:rFonts w:ascii="Times New Roman" w:eastAsia="Times New Roman" w:hAnsi="Times New Roman" w:cs="Times New Roman"/>
          <w:sz w:val="22"/>
          <w:szCs w:val="22"/>
        </w:rPr>
        <w:br/>
      </w:r>
    </w:p>
    <w:p w14:paraId="54E2B7CA" w14:textId="77777777" w:rsidR="00A615A6" w:rsidRDefault="00A92D00">
      <w:pPr>
        <w:numPr>
          <w:ilvl w:val="0"/>
          <w:numId w:val="3"/>
        </w:num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La </w:t>
      </w:r>
      <w:hyperlink r:id="rId17">
        <w:r>
          <w:rPr>
            <w:rFonts w:ascii="Times New Roman" w:eastAsia="Times New Roman" w:hAnsi="Times New Roman" w:cs="Times New Roman"/>
            <w:sz w:val="22"/>
            <w:szCs w:val="22"/>
            <w:highlight w:val="white"/>
          </w:rPr>
          <w:t>Secretaría de Educación</w:t>
        </w:r>
      </w:hyperlink>
      <w:r>
        <w:rPr>
          <w:rFonts w:ascii="Times New Roman" w:eastAsia="Times New Roman" w:hAnsi="Times New Roman" w:cs="Times New Roman"/>
          <w:sz w:val="22"/>
          <w:szCs w:val="22"/>
          <w:highlight w:val="white"/>
        </w:rPr>
        <w:t xml:space="preserve"> (SED) en alianza con el Instituto UNNO del PCIS - UNIMINUTO, lanzaron oficialmente las Olimpiadas STEM 2024, una estrategia pedagógica para fortalecer aprendizajes y competencias en ciencias y matemáticas de manera articulada con las actividades de aula en 220 instituciones educativas distritales de </w:t>
      </w:r>
      <w:hyperlink r:id="rId18">
        <w:r>
          <w:rPr>
            <w:rFonts w:ascii="Times New Roman" w:eastAsia="Times New Roman" w:hAnsi="Times New Roman" w:cs="Times New Roman"/>
            <w:sz w:val="22"/>
            <w:szCs w:val="22"/>
            <w:highlight w:val="white"/>
          </w:rPr>
          <w:t>Bogotá</w:t>
        </w:r>
      </w:hyperlink>
      <w:r>
        <w:rPr>
          <w:rFonts w:ascii="Times New Roman" w:eastAsia="Times New Roman" w:hAnsi="Times New Roman" w:cs="Times New Roman"/>
          <w:sz w:val="22"/>
          <w:szCs w:val="22"/>
          <w:highlight w:val="white"/>
        </w:rPr>
        <w:t xml:space="preserve"> focalizadas, de las cuales 11 son rurales (Secretaría de Educación Bogotá, 2024)</w:t>
      </w:r>
      <w:r>
        <w:rPr>
          <w:rFonts w:ascii="Times New Roman" w:eastAsia="Times New Roman" w:hAnsi="Times New Roman" w:cs="Times New Roman"/>
          <w:sz w:val="22"/>
          <w:szCs w:val="22"/>
          <w:highlight w:val="white"/>
          <w:vertAlign w:val="superscript"/>
        </w:rPr>
        <w:footnoteReference w:id="61"/>
      </w:r>
      <w:r>
        <w:rPr>
          <w:rFonts w:ascii="Times New Roman" w:eastAsia="Times New Roman" w:hAnsi="Times New Roman" w:cs="Times New Roman"/>
          <w:sz w:val="22"/>
          <w:szCs w:val="22"/>
          <w:highlight w:val="white"/>
        </w:rPr>
        <w:t>.</w:t>
      </w:r>
      <w:r>
        <w:rPr>
          <w:rFonts w:ascii="Times New Roman" w:eastAsia="Times New Roman" w:hAnsi="Times New Roman" w:cs="Times New Roman"/>
          <w:sz w:val="22"/>
          <w:szCs w:val="22"/>
          <w:highlight w:val="white"/>
        </w:rPr>
        <w:br/>
      </w:r>
    </w:p>
    <w:p w14:paraId="18B19607" w14:textId="77777777" w:rsidR="00A615A6" w:rsidRDefault="00A92D00">
      <w:pPr>
        <w:numPr>
          <w:ilvl w:val="0"/>
          <w:numId w:val="3"/>
        </w:num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Bogotá se convirtió en el epicentro de la innovación y el liderazgo tecnológico al acoger a 20 niñas del programa Ella Es Astronauta provenientes de distintos departamentos de Colombia, quienes participaron en un </w:t>
      </w:r>
      <w:proofErr w:type="spellStart"/>
      <w:r>
        <w:rPr>
          <w:rFonts w:ascii="Times New Roman" w:eastAsia="Times New Roman" w:hAnsi="Times New Roman" w:cs="Times New Roman"/>
          <w:sz w:val="22"/>
          <w:szCs w:val="22"/>
          <w:highlight w:val="white"/>
        </w:rPr>
        <w:t>bootcamp</w:t>
      </w:r>
      <w:proofErr w:type="spellEnd"/>
      <w:r>
        <w:rPr>
          <w:rFonts w:ascii="Times New Roman" w:eastAsia="Times New Roman" w:hAnsi="Times New Roman" w:cs="Times New Roman"/>
          <w:sz w:val="22"/>
          <w:szCs w:val="22"/>
          <w:highlight w:val="white"/>
        </w:rPr>
        <w:t xml:space="preserve"> presencial organizado por la Fundación </w:t>
      </w:r>
      <w:proofErr w:type="spellStart"/>
      <w:r>
        <w:rPr>
          <w:rFonts w:ascii="Times New Roman" w:eastAsia="Times New Roman" w:hAnsi="Times New Roman" w:cs="Times New Roman"/>
          <w:sz w:val="22"/>
          <w:szCs w:val="22"/>
          <w:highlight w:val="white"/>
        </w:rPr>
        <w:t>She</w:t>
      </w:r>
      <w:proofErr w:type="spellEnd"/>
      <w:r>
        <w:rPr>
          <w:rFonts w:ascii="Times New Roman" w:eastAsia="Times New Roman" w:hAnsi="Times New Roman" w:cs="Times New Roman"/>
          <w:sz w:val="22"/>
          <w:szCs w:val="22"/>
          <w:highlight w:val="white"/>
        </w:rPr>
        <w:t xml:space="preserve"> </w:t>
      </w:r>
      <w:proofErr w:type="spellStart"/>
      <w:r>
        <w:rPr>
          <w:rFonts w:ascii="Times New Roman" w:eastAsia="Times New Roman" w:hAnsi="Times New Roman" w:cs="Times New Roman"/>
          <w:sz w:val="22"/>
          <w:szCs w:val="22"/>
          <w:highlight w:val="white"/>
        </w:rPr>
        <w:t>Is</w:t>
      </w:r>
      <w:proofErr w:type="spellEnd"/>
      <w:r>
        <w:rPr>
          <w:rFonts w:ascii="Times New Roman" w:eastAsia="Times New Roman" w:hAnsi="Times New Roman" w:cs="Times New Roman"/>
          <w:sz w:val="22"/>
          <w:szCs w:val="22"/>
          <w:highlight w:val="white"/>
        </w:rPr>
        <w:t xml:space="preserve"> con el apoyo de Cenit. Este espacio disruptivo se enfocó en promover el aprendizaje intensivo en áreas STEAM (Ciencia, Tecnología, Ingeniería, Artes y Matemáticas), buscando fortalecer sus habilidades y empoderarlas para el futuro. Esta iniciativa se enmarca en el programa “Ella Es Astronauta” de la Fundación </w:t>
      </w:r>
      <w:proofErr w:type="spellStart"/>
      <w:r>
        <w:rPr>
          <w:rFonts w:ascii="Times New Roman" w:eastAsia="Times New Roman" w:hAnsi="Times New Roman" w:cs="Times New Roman"/>
          <w:sz w:val="22"/>
          <w:szCs w:val="22"/>
          <w:highlight w:val="white"/>
        </w:rPr>
        <w:t>She</w:t>
      </w:r>
      <w:proofErr w:type="spellEnd"/>
      <w:r>
        <w:rPr>
          <w:rFonts w:ascii="Times New Roman" w:eastAsia="Times New Roman" w:hAnsi="Times New Roman" w:cs="Times New Roman"/>
          <w:sz w:val="22"/>
          <w:szCs w:val="22"/>
          <w:highlight w:val="white"/>
        </w:rPr>
        <w:t xml:space="preserve"> </w:t>
      </w:r>
      <w:proofErr w:type="spellStart"/>
      <w:r>
        <w:rPr>
          <w:rFonts w:ascii="Times New Roman" w:eastAsia="Times New Roman" w:hAnsi="Times New Roman" w:cs="Times New Roman"/>
          <w:sz w:val="22"/>
          <w:szCs w:val="22"/>
          <w:highlight w:val="white"/>
        </w:rPr>
        <w:t>Is</w:t>
      </w:r>
      <w:proofErr w:type="spellEnd"/>
      <w:r>
        <w:rPr>
          <w:rFonts w:ascii="Times New Roman" w:eastAsia="Times New Roman" w:hAnsi="Times New Roman" w:cs="Times New Roman"/>
          <w:sz w:val="22"/>
          <w:szCs w:val="22"/>
          <w:highlight w:val="white"/>
        </w:rPr>
        <w:t>, que tiene como objetivo ofrecer las herramientas para que más niñas en Colombia tengan las oportunidades de desarrollo en áreas técnicas y científicas. Con el respaldo de empresas como Cenit, el programa no solo brinda conocimientos técnicos, sino que también fortalece la confianza y la motivación de las jóvenes para que puedan aspirar a carreras en áreas donde las mujeres son aún minoría. (Economía y Desarrollo, 2024)</w:t>
      </w:r>
      <w:r>
        <w:rPr>
          <w:rFonts w:ascii="Times New Roman" w:eastAsia="Times New Roman" w:hAnsi="Times New Roman" w:cs="Times New Roman"/>
          <w:sz w:val="22"/>
          <w:szCs w:val="22"/>
          <w:highlight w:val="white"/>
          <w:vertAlign w:val="superscript"/>
        </w:rPr>
        <w:footnoteReference w:id="62"/>
      </w:r>
      <w:r>
        <w:rPr>
          <w:rFonts w:ascii="Times New Roman" w:eastAsia="Times New Roman" w:hAnsi="Times New Roman" w:cs="Times New Roman"/>
          <w:sz w:val="22"/>
          <w:szCs w:val="22"/>
          <w:highlight w:val="white"/>
        </w:rPr>
        <w:br/>
      </w:r>
    </w:p>
    <w:p w14:paraId="6FD5559E" w14:textId="77777777" w:rsidR="00A615A6" w:rsidRDefault="00A92D00">
      <w:pPr>
        <w:numPr>
          <w:ilvl w:val="0"/>
          <w:numId w:val="3"/>
        </w:numP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rPr>
        <w:t>El Laboratorio Campesino para la Transición a la Agroecología (</w:t>
      </w:r>
      <w:proofErr w:type="spellStart"/>
      <w:r>
        <w:rPr>
          <w:rFonts w:ascii="Times New Roman" w:eastAsia="Times New Roman" w:hAnsi="Times New Roman" w:cs="Times New Roman"/>
          <w:sz w:val="22"/>
          <w:szCs w:val="22"/>
        </w:rPr>
        <w:t>LabCampesino</w:t>
      </w:r>
      <w:proofErr w:type="spellEnd"/>
      <w:r>
        <w:rPr>
          <w:rFonts w:ascii="Times New Roman" w:eastAsia="Times New Roman" w:hAnsi="Times New Roman" w:cs="Times New Roman"/>
          <w:sz w:val="22"/>
          <w:szCs w:val="22"/>
        </w:rPr>
        <w:t>) fue un proyecto de extensión solidaria liderado por grupos de estudiantes de las facultades de Ingeniería, Ciencias y Artes de la Universidad Nacional de Colombia y la organización rural Tierra Libre (</w:t>
      </w:r>
      <w:r>
        <w:rPr>
          <w:rFonts w:ascii="Times New Roman" w:eastAsia="Times New Roman" w:hAnsi="Times New Roman" w:cs="Times New Roman"/>
          <w:sz w:val="22"/>
          <w:szCs w:val="22"/>
          <w:shd w:val="clear" w:color="auto" w:fill="F8F9FA"/>
        </w:rPr>
        <w:t>Universidad Nacional de Colombia – Sede Bogotá,2020)</w:t>
      </w:r>
      <w:r>
        <w:rPr>
          <w:rFonts w:ascii="Times New Roman" w:eastAsia="Times New Roman" w:hAnsi="Times New Roman" w:cs="Times New Roman"/>
          <w:sz w:val="22"/>
          <w:szCs w:val="22"/>
          <w:vertAlign w:val="superscript"/>
        </w:rPr>
        <w:footnoteReference w:id="63"/>
      </w:r>
      <w:r>
        <w:rPr>
          <w:rFonts w:ascii="Times New Roman" w:eastAsia="Times New Roman" w:hAnsi="Times New Roman" w:cs="Times New Roman"/>
          <w:sz w:val="22"/>
          <w:szCs w:val="22"/>
        </w:rPr>
        <w:t xml:space="preserve">. El </w:t>
      </w:r>
      <w:proofErr w:type="spellStart"/>
      <w:r>
        <w:rPr>
          <w:rFonts w:ascii="Times New Roman" w:eastAsia="Times New Roman" w:hAnsi="Times New Roman" w:cs="Times New Roman"/>
          <w:sz w:val="22"/>
          <w:szCs w:val="22"/>
        </w:rPr>
        <w:t>LabCampesino</w:t>
      </w:r>
      <w:proofErr w:type="spellEnd"/>
      <w:r>
        <w:rPr>
          <w:rFonts w:ascii="Times New Roman" w:eastAsia="Times New Roman" w:hAnsi="Times New Roman" w:cs="Times New Roman"/>
          <w:sz w:val="22"/>
          <w:szCs w:val="22"/>
        </w:rPr>
        <w:t xml:space="preserve"> se desarrolló entre 2018 y 2019 en el territorio de la provincia de Sumapaz en el centro del país. Su objetivo central fue la generación de un espacio para la juventud y niñez rural de exploración, experimentación y prototipado alrededor de la agroecología, la </w:t>
      </w:r>
      <w:proofErr w:type="spellStart"/>
      <w:r>
        <w:rPr>
          <w:rFonts w:ascii="Times New Roman" w:eastAsia="Times New Roman" w:hAnsi="Times New Roman" w:cs="Times New Roman"/>
          <w:sz w:val="22"/>
          <w:szCs w:val="22"/>
        </w:rPr>
        <w:t>co</w:t>
      </w:r>
      <w:proofErr w:type="spellEnd"/>
      <w:r>
        <w:rPr>
          <w:rFonts w:ascii="Times New Roman" w:eastAsia="Times New Roman" w:hAnsi="Times New Roman" w:cs="Times New Roman"/>
          <w:sz w:val="22"/>
          <w:szCs w:val="22"/>
        </w:rPr>
        <w:t>-creación y la organización comunitaria (Tierra Libre y Enraizando, 2019)</w:t>
      </w:r>
      <w:r>
        <w:rPr>
          <w:rFonts w:ascii="Times New Roman" w:eastAsia="Times New Roman" w:hAnsi="Times New Roman" w:cs="Times New Roman"/>
          <w:sz w:val="22"/>
          <w:szCs w:val="22"/>
          <w:vertAlign w:val="superscript"/>
        </w:rPr>
        <w:footnoteReference w:id="64"/>
      </w:r>
    </w:p>
    <w:p w14:paraId="66428EC0" w14:textId="77777777" w:rsidR="00A615A6" w:rsidRDefault="00A615A6">
      <w:pPr>
        <w:spacing w:line="360" w:lineRule="auto"/>
        <w:ind w:left="720" w:right="-220"/>
        <w:jc w:val="both"/>
        <w:rPr>
          <w:rFonts w:ascii="Times New Roman" w:eastAsia="Times New Roman" w:hAnsi="Times New Roman" w:cs="Times New Roman"/>
          <w:sz w:val="22"/>
          <w:szCs w:val="22"/>
          <w:highlight w:val="white"/>
        </w:rPr>
      </w:pPr>
    </w:p>
    <w:p w14:paraId="226B3B70" w14:textId="77777777" w:rsidR="00A615A6" w:rsidRDefault="00A615A6">
      <w:pPr>
        <w:spacing w:line="360" w:lineRule="auto"/>
        <w:ind w:right="-220"/>
        <w:jc w:val="both"/>
        <w:rPr>
          <w:rFonts w:ascii="Times New Roman" w:eastAsia="Times New Roman" w:hAnsi="Times New Roman" w:cs="Times New Roman"/>
          <w:sz w:val="22"/>
          <w:szCs w:val="22"/>
        </w:rPr>
      </w:pPr>
    </w:p>
    <w:p w14:paraId="06D3E972"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RELACIÓN DE LA INICIATIVA CON LOS OBJETIVOS DE DESARROLLO SOSTENIBLE</w:t>
      </w:r>
      <w:r>
        <w:rPr>
          <w:rFonts w:ascii="Times New Roman" w:eastAsia="Times New Roman" w:hAnsi="Times New Roman" w:cs="Times New Roman"/>
          <w:b/>
          <w:sz w:val="22"/>
          <w:szCs w:val="22"/>
        </w:rPr>
        <w:t>.</w:t>
      </w:r>
    </w:p>
    <w:p w14:paraId="0AAF5EE8" w14:textId="77777777" w:rsidR="00A615A6" w:rsidRDefault="00A92D00">
      <w:pPr>
        <w:pBdr>
          <w:top w:val="nil"/>
          <w:left w:val="nil"/>
          <w:bottom w:val="nil"/>
          <w:right w:val="nil"/>
          <w:between w:val="nil"/>
        </w:pBdr>
        <w:spacing w:line="360" w:lineRule="auto"/>
        <w:ind w:left="720" w:right="-220"/>
        <w:jc w:val="center"/>
        <w:rPr>
          <w:rFonts w:ascii="Times New Roman" w:eastAsia="Times New Roman" w:hAnsi="Times New Roman" w:cs="Times New Roman"/>
          <w:b/>
          <w:color w:val="FF0000"/>
          <w:sz w:val="22"/>
          <w:szCs w:val="22"/>
        </w:rPr>
      </w:pPr>
      <w:r>
        <w:rPr>
          <w:rFonts w:ascii="Times New Roman" w:eastAsia="Times New Roman" w:hAnsi="Times New Roman" w:cs="Times New Roman"/>
          <w:b/>
          <w:noProof/>
          <w:color w:val="FF0000"/>
          <w:sz w:val="22"/>
          <w:szCs w:val="22"/>
          <w:lang w:val="es-CO"/>
        </w:rPr>
        <w:drawing>
          <wp:inline distT="114300" distB="114300" distL="114300" distR="114300" wp14:anchorId="23952F2F" wp14:editId="2D3FD97E">
            <wp:extent cx="1407522" cy="1339101"/>
            <wp:effectExtent l="0" t="0" r="0" b="0"/>
            <wp:docPr id="13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l="41982"/>
                    <a:stretch>
                      <a:fillRect/>
                    </a:stretch>
                  </pic:blipFill>
                  <pic:spPr>
                    <a:xfrm>
                      <a:off x="0" y="0"/>
                      <a:ext cx="1407522" cy="1339101"/>
                    </a:xfrm>
                    <a:prstGeom prst="rect">
                      <a:avLst/>
                    </a:prstGeom>
                    <a:ln/>
                  </pic:spPr>
                </pic:pic>
              </a:graphicData>
            </a:graphic>
          </wp:inline>
        </w:drawing>
      </w:r>
    </w:p>
    <w:p w14:paraId="04D8AF5E"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p>
    <w:p w14:paraId="07CC6EC3"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ODS 4: Educación de Calidad tiene una relación directa y fundamental con el enfoque STEAM (Ciencia, Tecnología, Ingeniería, Arte y Matemáticas), ya que STEAM promueve directamente una educación de calidad, inclusiva, equitativa, el aprendizaje continuo para todos y todas. En el contexto, la escuela, como motor del sistema educativo, se ve emplazada a realizar acciones concretas que permitan implementar una educación para el desarrollo sostenible (EDS). El aprendizaje interdisciplinario que responde a las necesidades educativas. del siglo XXI. El ODS 4 aboga por garantizar una educación inclusiva, equitativa y de calidad para todos. STEAM contribuye promoviendo la igualdad de oportunidades en áreas tradicionalmente subrepresentadas, como la participación de mujeres y minorías en campos STEAM.</w:t>
      </w:r>
    </w:p>
    <w:p w14:paraId="48C1D880"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b/>
          <w:sz w:val="22"/>
          <w:szCs w:val="22"/>
        </w:rPr>
      </w:pPr>
    </w:p>
    <w:p w14:paraId="4F9B800A" w14:textId="77777777" w:rsidR="00A615A6" w:rsidRDefault="00A92D00">
      <w:pPr>
        <w:pBdr>
          <w:top w:val="nil"/>
          <w:left w:val="nil"/>
          <w:bottom w:val="nil"/>
          <w:right w:val="nil"/>
          <w:between w:val="nil"/>
        </w:pBdr>
        <w:spacing w:line="360" w:lineRule="auto"/>
        <w:ind w:left="720" w:right="-220"/>
        <w:jc w:val="center"/>
        <w:rPr>
          <w:rFonts w:ascii="Times New Roman" w:eastAsia="Times New Roman" w:hAnsi="Times New Roman" w:cs="Times New Roman"/>
          <w:sz w:val="22"/>
          <w:szCs w:val="22"/>
          <w:highlight w:val="white"/>
        </w:rPr>
      </w:pPr>
      <w:r>
        <w:rPr>
          <w:rFonts w:ascii="Times New Roman" w:eastAsia="Times New Roman" w:hAnsi="Times New Roman" w:cs="Times New Roman"/>
          <w:noProof/>
          <w:sz w:val="22"/>
          <w:szCs w:val="22"/>
          <w:highlight w:val="white"/>
          <w:lang w:val="es-CO"/>
        </w:rPr>
        <w:drawing>
          <wp:inline distT="114300" distB="114300" distL="114300" distR="114300" wp14:anchorId="05879231" wp14:editId="3D0005FE">
            <wp:extent cx="1455113" cy="1355695"/>
            <wp:effectExtent l="0" t="0" r="0" b="0"/>
            <wp:docPr id="1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l="43904"/>
                    <a:stretch>
                      <a:fillRect/>
                    </a:stretch>
                  </pic:blipFill>
                  <pic:spPr>
                    <a:xfrm>
                      <a:off x="0" y="0"/>
                      <a:ext cx="1455113" cy="1355695"/>
                    </a:xfrm>
                    <a:prstGeom prst="rect">
                      <a:avLst/>
                    </a:prstGeom>
                    <a:ln/>
                  </pic:spPr>
                </pic:pic>
              </a:graphicData>
            </a:graphic>
          </wp:inline>
        </w:drawing>
      </w:r>
    </w:p>
    <w:p w14:paraId="1B8BDBCC"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sz w:val="22"/>
          <w:szCs w:val="22"/>
          <w:highlight w:val="white"/>
        </w:rPr>
      </w:pPr>
    </w:p>
    <w:p w14:paraId="5F7BE49E"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El ODS 5: Igualdad de Género y el enfoque STEAM (Ciencia, Tecnología, Ingeniería, Arte y Matemáticas) están estrechamente relacionados debido al papel fundamental que desempeña la inclusión y la equidad en cerrar las brechas de género en áreas que históricamente han tenido una participación femenina limitada. El ODS 5 busca garantizar la participación plena de las mujeres en todos los niveles de toma de decisiones y ámbitos de la sociedad. STEAM contribuye al empoderamiento femenino, fomentando la inclusión de niñas y mujeres en campos científicos y tecnológicos.</w:t>
      </w:r>
    </w:p>
    <w:p w14:paraId="2EFE747D" w14:textId="77777777" w:rsidR="00A615A6" w:rsidRDefault="00A92D00">
      <w:pPr>
        <w:pBdr>
          <w:top w:val="nil"/>
          <w:left w:val="nil"/>
          <w:bottom w:val="nil"/>
          <w:right w:val="nil"/>
          <w:between w:val="nil"/>
        </w:pBdr>
        <w:spacing w:line="360" w:lineRule="auto"/>
        <w:ind w:left="720" w:right="-220"/>
        <w:jc w:val="center"/>
        <w:rPr>
          <w:rFonts w:ascii="Times New Roman" w:eastAsia="Times New Roman" w:hAnsi="Times New Roman" w:cs="Times New Roman"/>
          <w:sz w:val="22"/>
          <w:szCs w:val="22"/>
          <w:highlight w:val="white"/>
        </w:rPr>
      </w:pPr>
      <w:r>
        <w:rPr>
          <w:rFonts w:ascii="Times New Roman" w:eastAsia="Times New Roman" w:hAnsi="Times New Roman" w:cs="Times New Roman"/>
          <w:noProof/>
          <w:sz w:val="22"/>
          <w:szCs w:val="22"/>
          <w:highlight w:val="white"/>
          <w:lang w:val="es-CO"/>
        </w:rPr>
        <w:drawing>
          <wp:inline distT="114300" distB="114300" distL="114300" distR="114300" wp14:anchorId="44F2B0D9" wp14:editId="2D774AED">
            <wp:extent cx="1473539" cy="1381442"/>
            <wp:effectExtent l="0" t="0" r="0" b="0"/>
            <wp:docPr id="12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r="2026" b="7985"/>
                    <a:stretch>
                      <a:fillRect/>
                    </a:stretch>
                  </pic:blipFill>
                  <pic:spPr>
                    <a:xfrm>
                      <a:off x="0" y="0"/>
                      <a:ext cx="1473539" cy="1381442"/>
                    </a:xfrm>
                    <a:prstGeom prst="rect">
                      <a:avLst/>
                    </a:prstGeom>
                    <a:ln/>
                  </pic:spPr>
                </pic:pic>
              </a:graphicData>
            </a:graphic>
          </wp:inline>
        </w:drawing>
      </w:r>
    </w:p>
    <w:p w14:paraId="72C7B93F"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p>
    <w:p w14:paraId="731A9DEB"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enfoque STEAM alineado con el ODS 10, puede transformar sociedades al reducir desigualdades estructurales. Proporciona a las personas más vulnerables herramientas para integrarse de manera efectiva en la economía digital y del conocimiento, fomentando una sociedad más justa, inclusiva y sostenible. Al empoderar a individuos mediante la educación y el acceso tecnológico, se logra un impacto positivo a largo plazo en la reducción de las desigualdades de educación.</w:t>
      </w:r>
    </w:p>
    <w:p w14:paraId="5F294046" w14:textId="77777777" w:rsidR="00A615A6" w:rsidRDefault="00A92D00">
      <w:pPr>
        <w:pBdr>
          <w:top w:val="nil"/>
          <w:left w:val="nil"/>
          <w:bottom w:val="nil"/>
          <w:right w:val="nil"/>
          <w:between w:val="nil"/>
        </w:pBdr>
        <w:spacing w:line="360" w:lineRule="auto"/>
        <w:ind w:left="720" w:right="-220"/>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5482349F" wp14:editId="22299F64">
            <wp:extent cx="1486853" cy="1666472"/>
            <wp:effectExtent l="0" t="0" r="0" b="0"/>
            <wp:docPr id="1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l="66875"/>
                    <a:stretch>
                      <a:fillRect/>
                    </a:stretch>
                  </pic:blipFill>
                  <pic:spPr>
                    <a:xfrm>
                      <a:off x="0" y="0"/>
                      <a:ext cx="1486853" cy="1666472"/>
                    </a:xfrm>
                    <a:prstGeom prst="rect">
                      <a:avLst/>
                    </a:prstGeom>
                    <a:ln/>
                  </pic:spPr>
                </pic:pic>
              </a:graphicData>
            </a:graphic>
          </wp:inline>
        </w:drawing>
      </w:r>
    </w:p>
    <w:p w14:paraId="4C9399AA"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p>
    <w:p w14:paraId="557AFF99"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ODS 16: Paz, Justicia e Instituciones Sólidas y el enfoque STEAM (Ciencia, Tecnología, Ingeniería, Arte y Matemáticas) están relacionados porque STEAM puede ser una herramienta clave para promover sociedades más justas, transparentes e inclusivas mediante la innovación, la educación y la tecnología. Donde se fomenta la inclusión y justicia social. STEAM puede utilizarse para desarrollar plataformas tecnológicas y sistemas innovadores que mejoren el acceso a la justicia, promuevan la transparencia en las instituciones y fortalezcan la participación ciudadana.</w:t>
      </w:r>
    </w:p>
    <w:p w14:paraId="6AAC7F8C"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sz w:val="22"/>
          <w:szCs w:val="22"/>
        </w:rPr>
      </w:pPr>
    </w:p>
    <w:p w14:paraId="76A61E6F" w14:textId="77777777" w:rsidR="00A615A6" w:rsidRDefault="00A92D00">
      <w:pPr>
        <w:pBdr>
          <w:top w:val="nil"/>
          <w:left w:val="nil"/>
          <w:bottom w:val="nil"/>
          <w:right w:val="nil"/>
          <w:between w:val="nil"/>
        </w:pBdr>
        <w:spacing w:line="360" w:lineRule="auto"/>
        <w:ind w:left="720" w:right="-220"/>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drawing>
          <wp:inline distT="114300" distB="114300" distL="114300" distR="114300" wp14:anchorId="31D47AD3" wp14:editId="3F78ACAC">
            <wp:extent cx="1528422" cy="1677536"/>
            <wp:effectExtent l="0" t="0" r="0" b="0"/>
            <wp:docPr id="1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1528422" cy="1677536"/>
                    </a:xfrm>
                    <a:prstGeom prst="rect">
                      <a:avLst/>
                    </a:prstGeom>
                    <a:ln/>
                  </pic:spPr>
                </pic:pic>
              </a:graphicData>
            </a:graphic>
          </wp:inline>
        </w:drawing>
      </w:r>
    </w:p>
    <w:p w14:paraId="5DEA7CD6"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enfoque STEAM, cuando se integra con el ODS 17, puede ser un catalizador para construir alianzas estratégicas que aborden los desafíos del desarrollo sostenible. Al fomentar la colaboración interdisciplinaria y el intercambio de conocimientos y tecnología, STEAM puede fortalecer las capacidades globales para alcanzar los ODS, garantizando soluciones innovadoras, inclusivas y sostenibles.</w:t>
      </w:r>
    </w:p>
    <w:p w14:paraId="07C408F8"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b/>
          <w:sz w:val="22"/>
          <w:szCs w:val="22"/>
        </w:rPr>
      </w:pPr>
    </w:p>
    <w:p w14:paraId="0698C2CD"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RELACIÓN DE LA INICIATIVA CON EL PLAN DISTRITAL DE DESARROLLO 2024 - 2027 “BOGOTÁ CAMINA SEGURA”.</w:t>
      </w:r>
    </w:p>
    <w:p w14:paraId="2D75E87F"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b/>
          <w:color w:val="FF0000"/>
          <w:sz w:val="22"/>
          <w:szCs w:val="22"/>
        </w:rPr>
      </w:pPr>
    </w:p>
    <w:p w14:paraId="1F65288E"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Artículo 5. Objetivos estratégicos.</w:t>
      </w:r>
      <w:r>
        <w:rPr>
          <w:rFonts w:ascii="Times New Roman" w:eastAsia="Times New Roman" w:hAnsi="Times New Roman" w:cs="Times New Roman"/>
          <w:sz w:val="22"/>
          <w:szCs w:val="22"/>
          <w:highlight w:val="white"/>
        </w:rPr>
        <w:t xml:space="preserve"> </w:t>
      </w:r>
    </w:p>
    <w:p w14:paraId="06D18FF4"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 </w:t>
      </w:r>
    </w:p>
    <w:p w14:paraId="308C383E"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5.2. Bogotá confía en su bienestar: Bogotá ha de ser el sitio donde sus habitantes quieran estar y puedan desarrollar todo su potencial. Una ciudad que sea la misma para todas y todos sus habitantes. Bien-estar es la posibilidad efectiva que tiene la ciudadanía de elegir sobre lo que quiere ser y hacer en la ciudad de Bogotá. Para lograr ese cometido es necesario impulsar el acceso equitativo e incluyente y de calidad a la educación, a la salud, a los servicios de cuidado, a la cultura, la recreación, el deporte y la actividad física. Así mismo, hay que garantizar la protección de la niñez, disponibilidad y acceso a alimentos de calidad y a soluciones habitacionales (...)</w:t>
      </w:r>
    </w:p>
    <w:p w14:paraId="0E5669A2" w14:textId="77777777" w:rsidR="00A615A6" w:rsidRDefault="00A615A6">
      <w:pPr>
        <w:shd w:val="clear" w:color="auto" w:fill="FFFFFF"/>
        <w:spacing w:line="360" w:lineRule="auto"/>
        <w:ind w:right="-220"/>
        <w:jc w:val="both"/>
        <w:rPr>
          <w:rFonts w:ascii="Times New Roman" w:eastAsia="Times New Roman" w:hAnsi="Times New Roman" w:cs="Times New Roman"/>
          <w:sz w:val="22"/>
          <w:szCs w:val="22"/>
          <w:highlight w:val="white"/>
        </w:rPr>
      </w:pPr>
    </w:p>
    <w:p w14:paraId="241F2DCA"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5.3. Bogotá confía en su potencial:</w:t>
      </w:r>
      <w:r>
        <w:rPr>
          <w:rFonts w:ascii="Times New Roman" w:eastAsia="Times New Roman" w:hAnsi="Times New Roman" w:cs="Times New Roman"/>
          <w:sz w:val="22"/>
          <w:szCs w:val="22"/>
          <w:highlight w:val="white"/>
        </w:rPr>
        <w:t xml:space="preserve"> Bogotá debe ser una ciudad en la que todos y todas podamos desarrollar y aprovechar al máximo nuestro potencial como personas, familias, empresas, academia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w:t>
      </w:r>
      <w:proofErr w:type="spellStart"/>
      <w:r>
        <w:rPr>
          <w:rFonts w:ascii="Times New Roman" w:eastAsia="Times New Roman" w:hAnsi="Times New Roman" w:cs="Times New Roman"/>
          <w:sz w:val="22"/>
          <w:szCs w:val="22"/>
          <w:highlight w:val="white"/>
        </w:rPr>
        <w:t>CTeI</w:t>
      </w:r>
      <w:proofErr w:type="spellEnd"/>
      <w:r>
        <w:rPr>
          <w:rFonts w:ascii="Times New Roman" w:eastAsia="Times New Roman" w:hAnsi="Times New Roman" w:cs="Times New Roman"/>
          <w:sz w:val="22"/>
          <w:szCs w:val="22"/>
          <w:highlight w:val="white"/>
        </w:rPr>
        <w:t>) como motor para el desarrollo de los ecosistemas empresariales, de alta productividad y de emprendimiento, que se alinean con las vocaciones individuales fomentadas desde la niñez y del territorio. Para ello, Bogotá estará soportada en un ambiente que estimula la generación y apropiación social del conocimiento.</w:t>
      </w:r>
    </w:p>
    <w:p w14:paraId="5B2C723A" w14:textId="77777777" w:rsidR="00A615A6" w:rsidRDefault="00A92D00">
      <w:pPr>
        <w:shd w:val="clear" w:color="auto" w:fill="FFFFFF"/>
        <w:spacing w:line="360" w:lineRule="auto"/>
        <w:ind w:right="-220"/>
        <w:jc w:val="both"/>
        <w:rPr>
          <w:rFonts w:ascii="Times New Roman" w:eastAsia="Times New Roman" w:hAnsi="Times New Roman" w:cs="Times New Roman"/>
          <w:b/>
          <w:sz w:val="22"/>
          <w:szCs w:val="22"/>
          <w:highlight w:val="white"/>
        </w:rPr>
      </w:pPr>
      <w:r>
        <w:rPr>
          <w:rFonts w:ascii="Times New Roman" w:eastAsia="Times New Roman" w:hAnsi="Times New Roman" w:cs="Times New Roman"/>
          <w:b/>
          <w:sz w:val="22"/>
          <w:szCs w:val="22"/>
          <w:highlight w:val="white"/>
        </w:rPr>
        <w:t xml:space="preserve"> </w:t>
      </w:r>
    </w:p>
    <w:p w14:paraId="5326FEB9" w14:textId="77777777" w:rsidR="00A615A6" w:rsidRDefault="00A92D00">
      <w:pPr>
        <w:shd w:val="clear" w:color="auto" w:fill="FFFFFF"/>
        <w:spacing w:line="360" w:lineRule="auto"/>
        <w:ind w:right="-220"/>
        <w:jc w:val="both"/>
        <w:rPr>
          <w:rFonts w:ascii="Times New Roman" w:eastAsia="Times New Roman" w:hAnsi="Times New Roman" w:cs="Times New Roman"/>
          <w:b/>
          <w:sz w:val="22"/>
          <w:szCs w:val="22"/>
          <w:highlight w:val="white"/>
        </w:rPr>
      </w:pPr>
      <w:r>
        <w:rPr>
          <w:rFonts w:ascii="Times New Roman" w:eastAsia="Times New Roman" w:hAnsi="Times New Roman" w:cs="Times New Roman"/>
          <w:b/>
          <w:sz w:val="22"/>
          <w:szCs w:val="22"/>
          <w:highlight w:val="white"/>
        </w:rPr>
        <w:t>OBJETIVO ESTRATÉGICO “BOGOTÁ CONFÍA EN SU BIEN-ESTAR”</w:t>
      </w:r>
    </w:p>
    <w:p w14:paraId="1A06EF61" w14:textId="77777777" w:rsidR="00A615A6" w:rsidRDefault="00A92D00">
      <w:pPr>
        <w:shd w:val="clear" w:color="auto" w:fill="FFFFFF"/>
        <w:spacing w:line="360" w:lineRule="auto"/>
        <w:ind w:right="-220"/>
        <w:jc w:val="both"/>
        <w:rPr>
          <w:rFonts w:ascii="Times New Roman" w:eastAsia="Times New Roman" w:hAnsi="Times New Roman" w:cs="Times New Roman"/>
          <w:b/>
          <w:sz w:val="22"/>
          <w:szCs w:val="22"/>
          <w:highlight w:val="white"/>
        </w:rPr>
      </w:pPr>
      <w:r>
        <w:rPr>
          <w:rFonts w:ascii="Times New Roman" w:eastAsia="Times New Roman" w:hAnsi="Times New Roman" w:cs="Times New Roman"/>
          <w:b/>
          <w:sz w:val="22"/>
          <w:szCs w:val="22"/>
          <w:highlight w:val="white"/>
        </w:rPr>
        <w:t xml:space="preserve"> </w:t>
      </w:r>
    </w:p>
    <w:p w14:paraId="171A0C7F"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Artículo 9.</w:t>
      </w:r>
      <w:r>
        <w:rPr>
          <w:rFonts w:ascii="Times New Roman" w:eastAsia="Times New Roman" w:hAnsi="Times New Roman" w:cs="Times New Roman"/>
          <w:sz w:val="22"/>
          <w:szCs w:val="22"/>
          <w:highlight w:val="white"/>
        </w:rPr>
        <w:t xml:space="preserve"> </w:t>
      </w:r>
      <w:r>
        <w:rPr>
          <w:rFonts w:ascii="Times New Roman" w:eastAsia="Times New Roman" w:hAnsi="Times New Roman" w:cs="Times New Roman"/>
          <w:b/>
          <w:sz w:val="22"/>
          <w:szCs w:val="22"/>
          <w:highlight w:val="white"/>
        </w:rPr>
        <w:t>Propósito y estrategias del objetivo estratégico “Bogotá confía en su bien-estar”.</w:t>
      </w:r>
      <w:r>
        <w:rPr>
          <w:rFonts w:ascii="Times New Roman" w:eastAsia="Times New Roman" w:hAnsi="Times New Roman" w:cs="Times New Roman"/>
          <w:sz w:val="22"/>
          <w:szCs w:val="22"/>
          <w:highlight w:val="white"/>
        </w:rPr>
        <w:t xml:space="preserve"> Bogotá ha de ser el sitio donde sus habitantes quieran estar y puedan desarrollar todo su potencial. Una ciudad que sea la misma para todas y todos sus habitantes. Bien-estar es la posibilidad efectiva que tiene la ciudadanía de elegir sobre lo que quiere ser y sobre lo que quiere hacer en la ciudad de Bogotá. Para lograr ese fin hay que reivindicar la importancia de la familia como institución social y fortalecerla, impulsar el acceso equitativo y de calidad a la educación, a la salud, a los servicios de cuidado, espirituales, a la cultura, la recreación, el deporte y la actividad física</w:t>
      </w:r>
    </w:p>
    <w:p w14:paraId="5D5E16B6" w14:textId="77777777" w:rsidR="00A615A6" w:rsidRDefault="00A615A6">
      <w:pPr>
        <w:shd w:val="clear" w:color="auto" w:fill="FFFFFF"/>
        <w:spacing w:line="360" w:lineRule="auto"/>
        <w:ind w:right="-220"/>
        <w:jc w:val="both"/>
        <w:rPr>
          <w:rFonts w:ascii="Times New Roman" w:eastAsia="Times New Roman" w:hAnsi="Times New Roman" w:cs="Times New Roman"/>
          <w:sz w:val="22"/>
          <w:szCs w:val="22"/>
          <w:highlight w:val="white"/>
        </w:rPr>
      </w:pPr>
    </w:p>
    <w:p w14:paraId="7D9A3541"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Artículo 10. Programas del objetivo estratégico “Bogotá confía en su Bien-Estar”</w:t>
      </w:r>
      <w:r>
        <w:rPr>
          <w:rFonts w:ascii="Times New Roman" w:eastAsia="Times New Roman" w:hAnsi="Times New Roman" w:cs="Times New Roman"/>
          <w:sz w:val="22"/>
          <w:szCs w:val="22"/>
          <w:highlight w:val="white"/>
        </w:rPr>
        <w:t>. Adóptense los siguientes programas del objetivo:</w:t>
      </w:r>
    </w:p>
    <w:p w14:paraId="1FFA0975" w14:textId="77777777" w:rsidR="00A615A6" w:rsidRDefault="00A92D00">
      <w:pPr>
        <w:shd w:val="clear" w:color="auto" w:fill="FFFFFF"/>
        <w:spacing w:line="360" w:lineRule="auto"/>
        <w:ind w:right="-220"/>
        <w:jc w:val="both"/>
        <w:rPr>
          <w:rFonts w:ascii="Times New Roman" w:eastAsia="Times New Roman" w:hAnsi="Times New Roman" w:cs="Times New Roman"/>
          <w:b/>
          <w:sz w:val="22"/>
          <w:szCs w:val="22"/>
          <w:highlight w:val="white"/>
        </w:rPr>
      </w:pPr>
      <w:r>
        <w:rPr>
          <w:rFonts w:ascii="Times New Roman" w:eastAsia="Times New Roman" w:hAnsi="Times New Roman" w:cs="Times New Roman"/>
          <w:b/>
          <w:sz w:val="22"/>
          <w:szCs w:val="22"/>
          <w:highlight w:val="white"/>
        </w:rPr>
        <w:t xml:space="preserve"> </w:t>
      </w:r>
    </w:p>
    <w:p w14:paraId="5649974F"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10.1. Programa 7. Bogotá, una ciudad con menos pobreza.</w:t>
      </w:r>
      <w:r>
        <w:rPr>
          <w:rFonts w:ascii="Times New Roman" w:eastAsia="Times New Roman" w:hAnsi="Times New Roman" w:cs="Times New Roman"/>
          <w:sz w:val="22"/>
          <w:szCs w:val="22"/>
          <w:highlight w:val="white"/>
        </w:rPr>
        <w:t xml:space="preserve"> Con el objetivo de reducir de manera sostenible la pobreza en la ciudad, creando condiciones para que las personas que hayan salido de la pobreza no regresen a esta, se han identificado cuatro grandes acciones, como se detalla seguidamente. La primera de las mencionadas acciones busca la articulación de las transferencias (...)</w:t>
      </w:r>
    </w:p>
    <w:p w14:paraId="603E8851"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 xml:space="preserve">10.8. Programa 14. Bogotá deportiva, recreativa, artística, patrimonial e </w:t>
      </w:r>
      <w:proofErr w:type="spellStart"/>
      <w:r>
        <w:rPr>
          <w:rFonts w:ascii="Times New Roman" w:eastAsia="Times New Roman" w:hAnsi="Times New Roman" w:cs="Times New Roman"/>
          <w:b/>
          <w:sz w:val="22"/>
          <w:szCs w:val="22"/>
          <w:highlight w:val="white"/>
        </w:rPr>
        <w:t>intercultural.</w:t>
      </w:r>
      <w:r>
        <w:rPr>
          <w:rFonts w:ascii="Times New Roman" w:eastAsia="Times New Roman" w:hAnsi="Times New Roman" w:cs="Times New Roman"/>
          <w:sz w:val="22"/>
          <w:szCs w:val="22"/>
          <w:highlight w:val="white"/>
        </w:rPr>
        <w:t>Además</w:t>
      </w:r>
      <w:proofErr w:type="spellEnd"/>
      <w:r>
        <w:rPr>
          <w:rFonts w:ascii="Times New Roman" w:eastAsia="Times New Roman" w:hAnsi="Times New Roman" w:cs="Times New Roman"/>
          <w:sz w:val="22"/>
          <w:szCs w:val="22"/>
          <w:highlight w:val="white"/>
        </w:rPr>
        <w:t>, busca integrar localmente la cultura, la ciencia y el conocimiento a la vida cotidiana de las comunidades, a través del desarrollo de programas de apropiación social de conocimiento (divulgación cultural y científica), la promoción de cultura científica en las instituciones educativas, y la realización de programas y proyectos de divulgación científica a escala distrital</w:t>
      </w:r>
    </w:p>
    <w:p w14:paraId="5A00645D" w14:textId="77777777" w:rsidR="00A615A6" w:rsidRDefault="00A615A6">
      <w:pPr>
        <w:shd w:val="clear" w:color="auto" w:fill="FFFFFF"/>
        <w:spacing w:line="360" w:lineRule="auto"/>
        <w:ind w:right="-220"/>
        <w:jc w:val="both"/>
        <w:rPr>
          <w:rFonts w:ascii="Times New Roman" w:eastAsia="Times New Roman" w:hAnsi="Times New Roman" w:cs="Times New Roman"/>
          <w:sz w:val="22"/>
          <w:szCs w:val="22"/>
          <w:highlight w:val="white"/>
        </w:rPr>
      </w:pPr>
    </w:p>
    <w:p w14:paraId="5C1734ED" w14:textId="77777777" w:rsidR="00A615A6" w:rsidRDefault="00A92D00">
      <w:pPr>
        <w:shd w:val="clear" w:color="auto" w:fill="FFFFFF"/>
        <w:spacing w:line="360" w:lineRule="auto"/>
        <w:ind w:right="-220"/>
        <w:jc w:val="both"/>
        <w:rPr>
          <w:rFonts w:ascii="Times New Roman" w:eastAsia="Times New Roman" w:hAnsi="Times New Roman" w:cs="Times New Roman"/>
          <w:b/>
          <w:sz w:val="22"/>
          <w:szCs w:val="22"/>
          <w:highlight w:val="white"/>
        </w:rPr>
      </w:pPr>
      <w:r>
        <w:rPr>
          <w:rFonts w:ascii="Times New Roman" w:eastAsia="Times New Roman" w:hAnsi="Times New Roman" w:cs="Times New Roman"/>
          <w:b/>
          <w:sz w:val="22"/>
          <w:szCs w:val="22"/>
          <w:highlight w:val="white"/>
        </w:rPr>
        <w:t>Artículo 12. Programas del objetivo estratégico “Bogotá confía en su potencial”. Adóptense los siguientes programas del objetivo “Bogotá confía en su potencial”:</w:t>
      </w:r>
    </w:p>
    <w:p w14:paraId="01564C95"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2"/>
          <w:szCs w:val="22"/>
          <w:highlight w:val="white"/>
        </w:rPr>
        <w:t xml:space="preserve"> </w:t>
      </w:r>
    </w:p>
    <w:p w14:paraId="66C4937E" w14:textId="77777777" w:rsidR="00A615A6" w:rsidRDefault="00A92D00">
      <w:pPr>
        <w:shd w:val="clear" w:color="auto" w:fill="FFFFFF"/>
        <w:spacing w:line="360" w:lineRule="auto"/>
        <w:ind w:right="-220"/>
        <w:jc w:val="both"/>
        <w:rPr>
          <w:rFonts w:ascii="Times New Roman" w:eastAsia="Times New Roman" w:hAnsi="Times New Roman" w:cs="Times New Roman"/>
          <w:sz w:val="22"/>
          <w:szCs w:val="22"/>
          <w:highlight w:val="white"/>
        </w:rPr>
      </w:pPr>
      <w:r>
        <w:rPr>
          <w:rFonts w:ascii="Times New Roman" w:eastAsia="Times New Roman" w:hAnsi="Times New Roman" w:cs="Times New Roman"/>
          <w:b/>
          <w:sz w:val="22"/>
          <w:szCs w:val="22"/>
          <w:highlight w:val="white"/>
        </w:rPr>
        <w:t>12.1. Programa 16. Atención integral a la primera infancia y educación como eje del potencial humano.</w:t>
      </w:r>
      <w:r>
        <w:rPr>
          <w:rFonts w:ascii="Times New Roman" w:eastAsia="Times New Roman" w:hAnsi="Times New Roman" w:cs="Times New Roman"/>
          <w:sz w:val="22"/>
          <w:szCs w:val="22"/>
          <w:highlight w:val="white"/>
        </w:rPr>
        <w:t xml:space="preserve"> Una educación de calidad es la responsable de brindarles a las niñas, niños, adolescentes y jóvenes formación en las habilidades emocionales y académicas que los convierten en ciudadanos integrales que aportan valor público, social y económico a la sociedad, con participación de las comunidades de padres, madres y cuidadores.</w:t>
      </w:r>
    </w:p>
    <w:p w14:paraId="1E5B3ECA"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b/>
          <w:color w:val="333333"/>
          <w:sz w:val="22"/>
          <w:szCs w:val="22"/>
          <w:highlight w:val="white"/>
        </w:rPr>
      </w:pPr>
    </w:p>
    <w:p w14:paraId="2D848D8C"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RELACIÓN DE LA INICIATIVA CON EL PLAN DE ORDENAMIENTO TERRITORIAL (POT).</w:t>
      </w:r>
    </w:p>
    <w:p w14:paraId="5136F63F"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b/>
          <w:color w:val="FF0000"/>
          <w:sz w:val="22"/>
          <w:szCs w:val="22"/>
        </w:rPr>
      </w:pPr>
    </w:p>
    <w:p w14:paraId="4491A62E"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Artículo 75. Equipamientos en la Zona de Articulación y Restablecimiento de la red de parques del Río Bogotá</w:t>
      </w:r>
      <w:r>
        <w:rPr>
          <w:rFonts w:ascii="Times New Roman" w:eastAsia="Times New Roman" w:hAnsi="Times New Roman" w:cs="Times New Roman"/>
          <w:sz w:val="22"/>
          <w:szCs w:val="22"/>
        </w:rPr>
        <w:t xml:space="preserve">. En los sectores de la Zona de Articulación y Restablecimiento contemplados en el Mapa CG 3.2.6 “Zonificación de Parques de Borde”, se pueden localizar, uno o más de los servicios sociales para la inclusión, protección, igualdad y equidad social, así como los servicios del cuidado descritos en el artículo de “Sistema de Cuidado y de servicios sociales”, salvo las siguientes limitaciones </w:t>
      </w:r>
    </w:p>
    <w:p w14:paraId="22A0FDA4"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1. Educación superior y para el trabajo y desarrollo humano, tecnología, ciencia e innovación: únicamente cuando se hibride con otro servicio social. </w:t>
      </w:r>
    </w:p>
    <w:p w14:paraId="152F48A2"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sz w:val="22"/>
          <w:szCs w:val="22"/>
        </w:rPr>
        <w:t>2. Integración Social e Igualdad de Oportunidades: salvo los que alberguen espacios para estancias largas.</w:t>
      </w:r>
    </w:p>
    <w:p w14:paraId="52023057"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br/>
        <w:t>Artículo 94. Sistema del Cuidado y de Servicios Sociales</w:t>
      </w:r>
      <w:r>
        <w:rPr>
          <w:rFonts w:ascii="Times New Roman" w:eastAsia="Times New Roman" w:hAnsi="Times New Roman" w:cs="Times New Roman"/>
          <w:sz w:val="22"/>
          <w:szCs w:val="22"/>
        </w:rPr>
        <w:t>. Es el conjunto de equipamientos, espacios, edificaciones, instalaciones o construcciones temporales, infraestructura o unidades móviles, donde se prestan los diferentes servicios de cuidado y servicios sociales que responden a las necesidades de la población de manera diferencial, con el fin de permitir su inclusión y participación social en condiciones de igualdad en Bogotá (...)</w:t>
      </w:r>
    </w:p>
    <w:p w14:paraId="39054A01"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Educación primera infancia, preescolar, básica y media</w:t>
      </w:r>
      <w:r>
        <w:rPr>
          <w:rFonts w:ascii="Times New Roman" w:eastAsia="Times New Roman" w:hAnsi="Times New Roman" w:cs="Times New Roman"/>
          <w:sz w:val="22"/>
          <w:szCs w:val="22"/>
        </w:rPr>
        <w:t>. Aquellos destinados a la formación intelectual, la capacitación y la preparación de los individuos para su integración a la sociedad, asociados a los niveles de educación formal determinados por la Ley 115 de 1994 o la norma que la modifique (...)</w:t>
      </w:r>
    </w:p>
    <w:p w14:paraId="1AF4DE62"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Educación superior, educación para el trabajo, desarrollo y talento humano, y educación técnica, tecnológica, para la ciencia e innovación. Aquellos destinados a la formación académica de población joven y adulta, incluyendo: instituciones de educación superior; educación (...)</w:t>
      </w:r>
    </w:p>
    <w:p w14:paraId="3F041D29"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b/>
          <w:sz w:val="22"/>
          <w:szCs w:val="22"/>
        </w:rPr>
      </w:pPr>
    </w:p>
    <w:p w14:paraId="1BDF7348"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 xml:space="preserve">SUSTENTO </w:t>
      </w:r>
      <w:r>
        <w:rPr>
          <w:rFonts w:ascii="Times New Roman" w:eastAsia="Times New Roman" w:hAnsi="Times New Roman" w:cs="Times New Roman"/>
          <w:b/>
          <w:sz w:val="22"/>
          <w:szCs w:val="22"/>
        </w:rPr>
        <w:t>JURÍDICO.</w:t>
      </w:r>
    </w:p>
    <w:p w14:paraId="66564C46"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b/>
          <w:sz w:val="22"/>
          <w:szCs w:val="22"/>
        </w:rPr>
      </w:pPr>
    </w:p>
    <w:p w14:paraId="17B8FF56" w14:textId="77777777" w:rsidR="00A615A6" w:rsidRDefault="00A92D00">
      <w:pPr>
        <w:spacing w:line="360" w:lineRule="auto"/>
        <w:ind w:right="-220"/>
        <w:jc w:val="both"/>
        <w:rPr>
          <w:rFonts w:ascii="Times New Roman" w:eastAsia="Times New Roman" w:hAnsi="Times New Roman" w:cs="Times New Roman"/>
          <w:b/>
        </w:rPr>
      </w:pPr>
      <w:r>
        <w:rPr>
          <w:rFonts w:ascii="Times New Roman" w:eastAsia="Times New Roman" w:hAnsi="Times New Roman" w:cs="Times New Roman"/>
          <w:b/>
        </w:rPr>
        <w:t>6.1. Bloque de convencionalidad</w:t>
      </w:r>
    </w:p>
    <w:p w14:paraId="2F283AEB"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u w:val="single"/>
        </w:rPr>
      </w:pPr>
      <w:bookmarkStart w:id="11" w:name="_heading=h.vftf52p1oufp" w:colFirst="0" w:colLast="0"/>
      <w:bookmarkEnd w:id="11"/>
      <w:r>
        <w:rPr>
          <w:rFonts w:ascii="Times New Roman" w:eastAsia="Times New Roman" w:hAnsi="Times New Roman" w:cs="Times New Roman"/>
          <w:sz w:val="22"/>
          <w:szCs w:val="22"/>
          <w:u w:val="single"/>
        </w:rPr>
        <w:t>Derecho a la Educación</w:t>
      </w:r>
    </w:p>
    <w:p w14:paraId="35691773"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 xml:space="preserve">Declaración Universal de Derechos Humanos (1948): Artículo 26, </w:t>
      </w:r>
      <w:r>
        <w:rPr>
          <w:rFonts w:ascii="Times New Roman" w:eastAsia="Times New Roman" w:hAnsi="Times New Roman" w:cs="Times New Roman"/>
          <w:i/>
          <w:sz w:val="22"/>
          <w:szCs w:val="22"/>
        </w:rPr>
        <w:t>"Toda persona tiene derecho a la educación. La educación debe ser gratuita, al menos en lo concerniente a la instrucción elemental y fundamental. (...) La educación tendrá por objeto el pleno desarrollo de la personalidad humana y el fortalecimiento del respeto a los derechos humanos y a las libertades fundamentales."</w:t>
      </w:r>
    </w:p>
    <w:p w14:paraId="1BB55499"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 xml:space="preserve">Pacto Internacional de Derechos Económicos, Sociales y Culturales (1966): Artículo 13. </w:t>
      </w:r>
      <w:r>
        <w:rPr>
          <w:rFonts w:ascii="Times New Roman" w:eastAsia="Times New Roman" w:hAnsi="Times New Roman" w:cs="Times New Roman"/>
          <w:i/>
          <w:sz w:val="22"/>
          <w:szCs w:val="22"/>
        </w:rPr>
        <w:t>"Los Estados Partes en el presente Pacto reconocen el derecho de toda persona a la educación. Convienen en que la educación debe orientarse hacia el pleno desarrollo de la personalidad humana y del sentido de su dignidad, y debe fortalecer el respeto por los derechos humanos y las libertades fundamentales."</w:t>
      </w:r>
    </w:p>
    <w:p w14:paraId="167B1F71"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u w:val="single"/>
        </w:rPr>
      </w:pPr>
      <w:bookmarkStart w:id="12" w:name="_heading=h.i7e1ry6nuiy8" w:colFirst="0" w:colLast="0"/>
      <w:bookmarkEnd w:id="12"/>
      <w:r>
        <w:rPr>
          <w:rFonts w:ascii="Times New Roman" w:eastAsia="Times New Roman" w:hAnsi="Times New Roman" w:cs="Times New Roman"/>
          <w:sz w:val="22"/>
          <w:szCs w:val="22"/>
          <w:u w:val="single"/>
        </w:rPr>
        <w:t>Igualdad de Género en STEAM</w:t>
      </w:r>
    </w:p>
    <w:p w14:paraId="0C71EBD3"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Convención sobre la Eliminación de Todas las Formas de Discriminación contra la Mujer (CEDAW, 1979): Artículo 10.</w:t>
      </w:r>
      <w:r>
        <w:rPr>
          <w:rFonts w:ascii="Times New Roman" w:eastAsia="Times New Roman" w:hAnsi="Times New Roman" w:cs="Times New Roman"/>
          <w:sz w:val="22"/>
          <w:szCs w:val="22"/>
        </w:rPr>
        <w:t xml:space="preserve"> </w:t>
      </w:r>
      <w:r>
        <w:rPr>
          <w:rFonts w:ascii="Times New Roman" w:eastAsia="Times New Roman" w:hAnsi="Times New Roman" w:cs="Times New Roman"/>
          <w:i/>
          <w:sz w:val="22"/>
          <w:szCs w:val="22"/>
        </w:rPr>
        <w:t>"Los Estados Partes tomarán todas las medidas apropiadas para eliminar la discriminación contra la mujer con el fin de asegurarle igualdad de derechos con el hombre en la esfera de la educación y, en particular, para asegurar, en condiciones de igualdad entre hombres y mujeres:</w:t>
      </w:r>
      <w:r>
        <w:rPr>
          <w:rFonts w:ascii="Times New Roman" w:eastAsia="Times New Roman" w:hAnsi="Times New Roman" w:cs="Times New Roman"/>
          <w:i/>
          <w:sz w:val="22"/>
          <w:szCs w:val="22"/>
        </w:rPr>
        <w:br/>
        <w:t>(a) Las mismas condiciones de orientación profesional, acceso a estudios y obtención de diplomas en establecimientos de enseñanza de todas las categorías, tanto en zonas rurales como urbanas; (...)</w:t>
      </w:r>
      <w:r>
        <w:rPr>
          <w:rFonts w:ascii="Times New Roman" w:eastAsia="Times New Roman" w:hAnsi="Times New Roman" w:cs="Times New Roman"/>
          <w:i/>
          <w:sz w:val="22"/>
          <w:szCs w:val="22"/>
        </w:rPr>
        <w:br/>
        <w:t>(c) El acceso a programas específicos de formación continua, incluido el acceso a carreras científicas y técnicas."</w:t>
      </w:r>
    </w:p>
    <w:p w14:paraId="0970B2DB"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u w:val="single"/>
        </w:rPr>
      </w:pPr>
      <w:bookmarkStart w:id="13" w:name="_heading=h.ykf7a5xkwn4t" w:colFirst="0" w:colLast="0"/>
      <w:bookmarkEnd w:id="13"/>
      <w:r>
        <w:rPr>
          <w:rFonts w:ascii="Times New Roman" w:eastAsia="Times New Roman" w:hAnsi="Times New Roman" w:cs="Times New Roman"/>
          <w:sz w:val="22"/>
          <w:szCs w:val="22"/>
          <w:u w:val="single"/>
        </w:rPr>
        <w:t>Derecho a la Ciencia y la Tecnología</w:t>
      </w:r>
    </w:p>
    <w:p w14:paraId="438A2DB0"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Pacto Internacional de Derechos Económicos, Sociales y Culturales (1966): Artículo 15</w:t>
      </w:r>
      <w:r>
        <w:rPr>
          <w:rFonts w:ascii="Times New Roman" w:eastAsia="Times New Roman" w:hAnsi="Times New Roman" w:cs="Times New Roman"/>
          <w:sz w:val="22"/>
          <w:szCs w:val="22"/>
        </w:rPr>
        <w:t>.</w:t>
      </w:r>
      <w:r>
        <w:rPr>
          <w:rFonts w:ascii="Times New Roman" w:eastAsia="Times New Roman" w:hAnsi="Times New Roman" w:cs="Times New Roman"/>
          <w:i/>
          <w:sz w:val="22"/>
          <w:szCs w:val="22"/>
        </w:rPr>
        <w:t xml:space="preserve"> "Los Estados Partes en el presente Pacto reconocen el derecho de toda persona a:</w:t>
      </w:r>
      <w:r>
        <w:rPr>
          <w:rFonts w:ascii="Times New Roman" w:eastAsia="Times New Roman" w:hAnsi="Times New Roman" w:cs="Times New Roman"/>
          <w:i/>
          <w:sz w:val="22"/>
          <w:szCs w:val="22"/>
        </w:rPr>
        <w:br/>
        <w:t>(a) Participar en la vida cultural;</w:t>
      </w:r>
      <w:r>
        <w:rPr>
          <w:rFonts w:ascii="Times New Roman" w:eastAsia="Times New Roman" w:hAnsi="Times New Roman" w:cs="Times New Roman"/>
          <w:i/>
          <w:sz w:val="22"/>
          <w:szCs w:val="22"/>
        </w:rPr>
        <w:br/>
        <w:t>(b) Gozar de los beneficios del progreso científico y de sus aplicaciones;</w:t>
      </w:r>
      <w:r>
        <w:rPr>
          <w:rFonts w:ascii="Times New Roman" w:eastAsia="Times New Roman" w:hAnsi="Times New Roman" w:cs="Times New Roman"/>
          <w:i/>
          <w:sz w:val="22"/>
          <w:szCs w:val="22"/>
        </w:rPr>
        <w:br/>
        <w:t>(c) Beneficiarse de la protección de los intereses morales y materiales que le correspondan por razón de las producciones científicas, literarias o artísticas de que sea autora."</w:t>
      </w:r>
    </w:p>
    <w:p w14:paraId="27078045"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Declaración sobre el Uso del Progreso Científico y Tecnológico en Interés de la Paz y en Beneficio de la Humanidad (1975): Artículo 1.</w:t>
      </w:r>
      <w:r>
        <w:rPr>
          <w:rFonts w:ascii="Times New Roman" w:eastAsia="Times New Roman" w:hAnsi="Times New Roman" w:cs="Times New Roman"/>
          <w:sz w:val="22"/>
          <w:szCs w:val="22"/>
        </w:rPr>
        <w:t xml:space="preserve"> </w:t>
      </w:r>
      <w:r>
        <w:rPr>
          <w:rFonts w:ascii="Times New Roman" w:eastAsia="Times New Roman" w:hAnsi="Times New Roman" w:cs="Times New Roman"/>
          <w:i/>
          <w:sz w:val="22"/>
          <w:szCs w:val="22"/>
        </w:rPr>
        <w:t>"Los Estados deberán garantizar que el progreso científico y tecnológico se utilice en interés de la paz, la seguridad, la libertad y el desarrollo integral del ser humano."</w:t>
      </w:r>
    </w:p>
    <w:p w14:paraId="65D0ADE8"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u w:val="single"/>
        </w:rPr>
      </w:pPr>
      <w:bookmarkStart w:id="14" w:name="_heading=h.so0ypo6prkot" w:colFirst="0" w:colLast="0"/>
      <w:bookmarkEnd w:id="14"/>
      <w:r>
        <w:rPr>
          <w:rFonts w:ascii="Times New Roman" w:eastAsia="Times New Roman" w:hAnsi="Times New Roman" w:cs="Times New Roman"/>
          <w:sz w:val="22"/>
          <w:szCs w:val="22"/>
          <w:u w:val="single"/>
        </w:rPr>
        <w:t>Educación Inclusiva e Igualdad de Oportunidades</w:t>
      </w:r>
    </w:p>
    <w:p w14:paraId="11AC8B21"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 xml:space="preserve">Convención sobre los Derechos del Niño (1989): Artículo 28. </w:t>
      </w:r>
      <w:r>
        <w:rPr>
          <w:rFonts w:ascii="Times New Roman" w:eastAsia="Times New Roman" w:hAnsi="Times New Roman" w:cs="Times New Roman"/>
          <w:i/>
          <w:sz w:val="22"/>
          <w:szCs w:val="22"/>
        </w:rPr>
        <w:t>"Los Estados Partes reconocen el derecho del niño a la educación, y con el objeto de asegurar el ejercicio de este derecho progresivamente y sobre la base de la igualdad de oportunidades, deberán en particular:</w:t>
      </w:r>
      <w:r>
        <w:rPr>
          <w:rFonts w:ascii="Times New Roman" w:eastAsia="Times New Roman" w:hAnsi="Times New Roman" w:cs="Times New Roman"/>
          <w:i/>
          <w:sz w:val="22"/>
          <w:szCs w:val="22"/>
        </w:rPr>
        <w:br/>
        <w:t>(a) Implantar la enseñanza primaria obligatoria y gratuita para todos;</w:t>
      </w:r>
      <w:r>
        <w:rPr>
          <w:rFonts w:ascii="Times New Roman" w:eastAsia="Times New Roman" w:hAnsi="Times New Roman" w:cs="Times New Roman"/>
          <w:i/>
          <w:sz w:val="22"/>
          <w:szCs w:val="22"/>
        </w:rPr>
        <w:br/>
        <w:t>(b) Fomentar el desarrollo, en sus diferentes formas, de la enseñanza secundaria, incluida la enseñanza general y profesional, hacer que todos los niños dispongan de ella y tengan acceso a ella, y adoptar medidas apropiadas tales como la implantación de la gratuidad de la enseñanza y la concesión de asistencia financiera en caso de necesidad."</w:t>
      </w:r>
    </w:p>
    <w:p w14:paraId="23622F68"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u w:val="single"/>
        </w:rPr>
      </w:pPr>
      <w:bookmarkStart w:id="15" w:name="_heading=h.bw7kxmm6xb89" w:colFirst="0" w:colLast="0"/>
      <w:bookmarkEnd w:id="15"/>
      <w:r>
        <w:rPr>
          <w:rFonts w:ascii="Times New Roman" w:eastAsia="Times New Roman" w:hAnsi="Times New Roman" w:cs="Times New Roman"/>
          <w:sz w:val="22"/>
          <w:szCs w:val="22"/>
          <w:u w:val="single"/>
        </w:rPr>
        <w:t>Promoción de la Creatividad y el Arte</w:t>
      </w:r>
    </w:p>
    <w:p w14:paraId="08C16806"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Declaración Universal de Derechos Humanos (1948): Artículo 27.</w:t>
      </w:r>
      <w:r>
        <w:rPr>
          <w:rFonts w:ascii="Times New Roman" w:eastAsia="Times New Roman" w:hAnsi="Times New Roman" w:cs="Times New Roman"/>
          <w:b/>
          <w:i/>
          <w:sz w:val="22"/>
          <w:szCs w:val="22"/>
        </w:rPr>
        <w:t xml:space="preserve"> </w:t>
      </w:r>
      <w:r>
        <w:rPr>
          <w:rFonts w:ascii="Times New Roman" w:eastAsia="Times New Roman" w:hAnsi="Times New Roman" w:cs="Times New Roman"/>
          <w:i/>
          <w:sz w:val="22"/>
          <w:szCs w:val="22"/>
        </w:rPr>
        <w:t>"Toda persona tiene derecho a tomar parte libremente en la vida cultural de la comunidad, a gozar de las artes y a participar en el progreso científico y en los beneficios que de él resulten."</w:t>
      </w:r>
    </w:p>
    <w:p w14:paraId="7EC06D57"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Convención sobre la Protección y Promoción de la Diversidad de las Expresiones Culturales (2005): Artículo 7.</w:t>
      </w:r>
      <w:r>
        <w:rPr>
          <w:rFonts w:ascii="Times New Roman" w:eastAsia="Times New Roman" w:hAnsi="Times New Roman" w:cs="Times New Roman"/>
          <w:b/>
          <w:i/>
          <w:sz w:val="22"/>
          <w:szCs w:val="22"/>
        </w:rPr>
        <w:t xml:space="preserve"> </w:t>
      </w:r>
      <w:r>
        <w:rPr>
          <w:rFonts w:ascii="Times New Roman" w:eastAsia="Times New Roman" w:hAnsi="Times New Roman" w:cs="Times New Roman"/>
          <w:i/>
          <w:sz w:val="22"/>
          <w:szCs w:val="22"/>
        </w:rPr>
        <w:t>"Los Estados Partes se comprometen a promover el derecho de las personas y los grupos sociales a crear, producir, difundir y disfrutar de expresiones culturales, incluyendo aquellas relacionadas con la innovación tecnológica."</w:t>
      </w:r>
    </w:p>
    <w:p w14:paraId="372FA787" w14:textId="77777777" w:rsidR="00A615A6" w:rsidRDefault="00A92D00">
      <w:pPr>
        <w:spacing w:line="360" w:lineRule="auto"/>
        <w:ind w:right="-220"/>
        <w:jc w:val="both"/>
        <w:rPr>
          <w:rFonts w:ascii="Times New Roman" w:eastAsia="Times New Roman" w:hAnsi="Times New Roman" w:cs="Times New Roman"/>
          <w:b/>
        </w:rPr>
      </w:pPr>
      <w:r>
        <w:rPr>
          <w:rFonts w:ascii="Times New Roman" w:eastAsia="Times New Roman" w:hAnsi="Times New Roman" w:cs="Times New Roman"/>
          <w:b/>
        </w:rPr>
        <w:t>6.2. Constitución Política de Colombia</w:t>
      </w:r>
    </w:p>
    <w:p w14:paraId="3A3AC8E0"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Constitución Política de Colombia de 1991 establece un marco normativo amplio para garantizar derechos fundamentales y promover el desarrollo social, económico, científico, tecnológico, cultural y educativo. A continuación, se presentan los artículos relevantes en relación con las áreas STEAM:</w:t>
      </w:r>
    </w:p>
    <w:p w14:paraId="7C390340" w14:textId="77777777" w:rsidR="00A615A6" w:rsidRDefault="00A92D00">
      <w:pPr>
        <w:spacing w:before="240" w:after="240" w:line="360" w:lineRule="auto"/>
        <w:ind w:right="-220"/>
        <w:jc w:val="both"/>
        <w:rPr>
          <w:rFonts w:ascii="Times New Roman" w:eastAsia="Times New Roman" w:hAnsi="Times New Roman" w:cs="Times New Roman"/>
          <w:i/>
          <w:sz w:val="22"/>
          <w:szCs w:val="22"/>
        </w:rPr>
      </w:pPr>
      <w:r>
        <w:rPr>
          <w:rFonts w:ascii="Times New Roman" w:eastAsia="Times New Roman" w:hAnsi="Times New Roman" w:cs="Times New Roman"/>
          <w:b/>
          <w:sz w:val="22"/>
          <w:szCs w:val="22"/>
        </w:rPr>
        <w:t>Derecho a la Educación,</w:t>
      </w:r>
      <w:r>
        <w:rPr>
          <w:rFonts w:ascii="Times New Roman" w:eastAsia="Times New Roman" w:hAnsi="Times New Roman" w:cs="Times New Roman"/>
          <w:sz w:val="22"/>
          <w:szCs w:val="22"/>
        </w:rPr>
        <w:t xml:space="preserve"> </w:t>
      </w:r>
      <w:r>
        <w:rPr>
          <w:rFonts w:ascii="Times New Roman" w:eastAsia="Times New Roman" w:hAnsi="Times New Roman" w:cs="Times New Roman"/>
          <w:b/>
          <w:sz w:val="22"/>
          <w:szCs w:val="22"/>
        </w:rPr>
        <w:t>Artículo 67</w:t>
      </w:r>
      <w:r>
        <w:rPr>
          <w:rFonts w:ascii="Times New Roman" w:eastAsia="Times New Roman" w:hAnsi="Times New Roman" w:cs="Times New Roman"/>
          <w:sz w:val="22"/>
          <w:szCs w:val="22"/>
        </w:rPr>
        <w:t xml:space="preserve"> </w:t>
      </w:r>
      <w:r>
        <w:rPr>
          <w:rFonts w:ascii="Times New Roman" w:eastAsia="Times New Roman" w:hAnsi="Times New Roman" w:cs="Times New Roman"/>
          <w:i/>
          <w:sz w:val="22"/>
          <w:szCs w:val="22"/>
        </w:rPr>
        <w:t>"La educación es un derecho de la persona y un servicio público que tiene una función social; con ella se busca el acceso al conocimiento, a la ciencia, a la técnica y a los demás bienes y valores de la cultura. (...) Corresponde al Estado regular y ejercer la suprema inspección y vigilancia de la educación para velar por su calidad, por el cumplimiento de sus fines y por la mejor formación moral, intelectual y física de los educandos."</w:t>
      </w:r>
    </w:p>
    <w:p w14:paraId="323EB233"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16" w:name="_heading=h.g8v3hfjzv0jf" w:colFirst="0" w:colLast="0"/>
      <w:bookmarkEnd w:id="16"/>
      <w:r>
        <w:rPr>
          <w:rFonts w:ascii="Times New Roman" w:eastAsia="Times New Roman" w:hAnsi="Times New Roman" w:cs="Times New Roman"/>
          <w:sz w:val="22"/>
          <w:szCs w:val="22"/>
        </w:rPr>
        <w:t xml:space="preserve">Fomento de la Ciencia y la Tecnología, Artículo 70. </w:t>
      </w:r>
      <w:r>
        <w:rPr>
          <w:rFonts w:ascii="Times New Roman" w:eastAsia="Times New Roman" w:hAnsi="Times New Roman" w:cs="Times New Roman"/>
          <w:b w:val="0"/>
          <w:i/>
          <w:sz w:val="22"/>
          <w:szCs w:val="22"/>
        </w:rPr>
        <w:t xml:space="preserve">"El Estado tiene el deber de promover y fomentar el acceso a la cultura de todos los colombianos en igualdad de oportunidades por medio de la educación permanente y el aprovechamiento de todos los instrumentos disponibles. (...) El Estado creará incentivos para las personas e instituciones que desarrollen y fomenten la ciencia y la tecnología y las demás manifestaciones culturales.". </w:t>
      </w:r>
      <w:r>
        <w:rPr>
          <w:rFonts w:ascii="Times New Roman" w:eastAsia="Times New Roman" w:hAnsi="Times New Roman" w:cs="Times New Roman"/>
          <w:sz w:val="22"/>
          <w:szCs w:val="22"/>
        </w:rPr>
        <w:t xml:space="preserve">Artículo 71 </w:t>
      </w:r>
      <w:r>
        <w:rPr>
          <w:rFonts w:ascii="Times New Roman" w:eastAsia="Times New Roman" w:hAnsi="Times New Roman" w:cs="Times New Roman"/>
          <w:b w:val="0"/>
          <w:i/>
          <w:sz w:val="22"/>
          <w:szCs w:val="22"/>
        </w:rPr>
        <w:t>"La búsqueda del conocimiento y la expresión artística son libres. El Estado creará incentivos para las personas e instituciones que desarrollen y fomenten la ciencia y la tecnología y las demás manifestaciones culturales."</w:t>
      </w:r>
    </w:p>
    <w:p w14:paraId="2A47236C"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17" w:name="_heading=h.yfld9ev98nxv" w:colFirst="0" w:colLast="0"/>
      <w:bookmarkEnd w:id="17"/>
      <w:r>
        <w:rPr>
          <w:rFonts w:ascii="Times New Roman" w:eastAsia="Times New Roman" w:hAnsi="Times New Roman" w:cs="Times New Roman"/>
          <w:sz w:val="22"/>
          <w:szCs w:val="22"/>
        </w:rPr>
        <w:t>Igualdad de Oportunidades y No Discriminación. Artículo 13</w:t>
      </w:r>
      <w:r>
        <w:rPr>
          <w:rFonts w:ascii="Times New Roman" w:eastAsia="Times New Roman" w:hAnsi="Times New Roman" w:cs="Times New Roman"/>
          <w:b w:val="0"/>
          <w:i/>
          <w:sz w:val="22"/>
          <w:szCs w:val="22"/>
        </w:rPr>
        <w:t>. "Todas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r>
        <w:rPr>
          <w:rFonts w:ascii="Times New Roman" w:eastAsia="Times New Roman" w:hAnsi="Times New Roman" w:cs="Times New Roman"/>
          <w:b w:val="0"/>
          <w:sz w:val="22"/>
          <w:szCs w:val="22"/>
        </w:rPr>
        <w:t xml:space="preserve"> </w:t>
      </w:r>
      <w:r>
        <w:rPr>
          <w:rFonts w:ascii="Times New Roman" w:eastAsia="Times New Roman" w:hAnsi="Times New Roman" w:cs="Times New Roman"/>
          <w:sz w:val="22"/>
          <w:szCs w:val="22"/>
        </w:rPr>
        <w:t xml:space="preserve">Artículo 43, </w:t>
      </w:r>
      <w:r>
        <w:rPr>
          <w:rFonts w:ascii="Times New Roman" w:eastAsia="Times New Roman" w:hAnsi="Times New Roman" w:cs="Times New Roman"/>
          <w:b w:val="0"/>
          <w:i/>
          <w:sz w:val="22"/>
          <w:szCs w:val="22"/>
        </w:rPr>
        <w:t>"La mujer y el hombre tienen iguales derechos y oportunidades. La mujer no podrá ser sometida a ninguna clase de discriminación."</w:t>
      </w:r>
    </w:p>
    <w:p w14:paraId="0626B85C"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18" w:name="_heading=h.hn27m8qt0xt0" w:colFirst="0" w:colLast="0"/>
      <w:bookmarkEnd w:id="18"/>
      <w:r>
        <w:rPr>
          <w:rFonts w:ascii="Times New Roman" w:eastAsia="Times New Roman" w:hAnsi="Times New Roman" w:cs="Times New Roman"/>
          <w:sz w:val="22"/>
          <w:szCs w:val="22"/>
        </w:rPr>
        <w:t xml:space="preserve">Derecho a la Cultura y el Arte. Artículo 70. </w:t>
      </w:r>
      <w:r>
        <w:rPr>
          <w:rFonts w:ascii="Times New Roman" w:eastAsia="Times New Roman" w:hAnsi="Times New Roman" w:cs="Times New Roman"/>
          <w:b w:val="0"/>
          <w:i/>
          <w:sz w:val="22"/>
          <w:szCs w:val="22"/>
        </w:rPr>
        <w:t>"El Estado reconoce la igualdad y dignidad de todas las culturas que conviven en el país. El Estado promoverá la investigación, la ciencia, el desarrollo y la difusión de los valores culturales de la Nación."</w:t>
      </w:r>
      <w:r>
        <w:rPr>
          <w:rFonts w:ascii="Times New Roman" w:eastAsia="Times New Roman" w:hAnsi="Times New Roman" w:cs="Times New Roman"/>
          <w:sz w:val="22"/>
          <w:szCs w:val="22"/>
        </w:rPr>
        <w:t xml:space="preserve">. Artículo 72. </w:t>
      </w:r>
      <w:r>
        <w:rPr>
          <w:rFonts w:ascii="Times New Roman" w:eastAsia="Times New Roman" w:hAnsi="Times New Roman" w:cs="Times New Roman"/>
          <w:b w:val="0"/>
          <w:i/>
          <w:sz w:val="22"/>
          <w:szCs w:val="22"/>
        </w:rPr>
        <w:t>"El patrimonio cultural de la Nación está bajo la protección del Estado. Los bienes de interés cultural de la Nación, lo mismo que los valores culturales que conforman la identidad nacional, son inalienables, inembargables e imprescriptibles."</w:t>
      </w:r>
    </w:p>
    <w:p w14:paraId="167B57E6"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19" w:name="_heading=h.wpybrpknr3ew" w:colFirst="0" w:colLast="0"/>
      <w:bookmarkEnd w:id="19"/>
      <w:r>
        <w:rPr>
          <w:rFonts w:ascii="Times New Roman" w:eastAsia="Times New Roman" w:hAnsi="Times New Roman" w:cs="Times New Roman"/>
          <w:sz w:val="22"/>
          <w:szCs w:val="22"/>
        </w:rPr>
        <w:t xml:space="preserve">Derecho al Trabajo y la Innovación. Artículo 25. </w:t>
      </w:r>
      <w:r>
        <w:rPr>
          <w:rFonts w:ascii="Times New Roman" w:eastAsia="Times New Roman" w:hAnsi="Times New Roman" w:cs="Times New Roman"/>
          <w:b w:val="0"/>
          <w:i/>
          <w:sz w:val="22"/>
          <w:szCs w:val="22"/>
        </w:rPr>
        <w:t xml:space="preserve">"El trabajo es un derecho y una obligación social y goza, en todas sus modalidades, de la especial protección del Estado.". </w:t>
      </w:r>
      <w:r>
        <w:rPr>
          <w:rFonts w:ascii="Times New Roman" w:eastAsia="Times New Roman" w:hAnsi="Times New Roman" w:cs="Times New Roman"/>
          <w:sz w:val="22"/>
          <w:szCs w:val="22"/>
        </w:rPr>
        <w:t xml:space="preserve">Artículo 334. </w:t>
      </w:r>
      <w:r>
        <w:rPr>
          <w:rFonts w:ascii="Times New Roman" w:eastAsia="Times New Roman" w:hAnsi="Times New Roman" w:cs="Times New Roman"/>
          <w:b w:val="0"/>
          <w:i/>
          <w:sz w:val="22"/>
          <w:szCs w:val="22"/>
        </w:rPr>
        <w:t>"El Estado, de manera especial, intervendrá para dar pleno empleo a los recursos humanos y para asegurar que todas las personas, en particular las de menores ingresos, tengan acceso efectivo a los bienes y servicios básicos, especialmente a los de educación, salud, cultura, crédito, agua potable, saneamiento básico, electricidad, vivienda y recreación."</w:t>
      </w:r>
    </w:p>
    <w:p w14:paraId="14E7C80E"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20" w:name="_heading=h.wgm0hn92uurt" w:colFirst="0" w:colLast="0"/>
      <w:bookmarkEnd w:id="20"/>
      <w:r>
        <w:rPr>
          <w:rFonts w:ascii="Times New Roman" w:eastAsia="Times New Roman" w:hAnsi="Times New Roman" w:cs="Times New Roman"/>
          <w:sz w:val="22"/>
          <w:szCs w:val="22"/>
        </w:rPr>
        <w:t xml:space="preserve">Protección a la Infancia y Juventud. Artículo 44. </w:t>
      </w:r>
      <w:r>
        <w:rPr>
          <w:rFonts w:ascii="Times New Roman" w:eastAsia="Times New Roman" w:hAnsi="Times New Roman" w:cs="Times New Roman"/>
          <w:b w:val="0"/>
          <w:i/>
          <w:sz w:val="22"/>
          <w:szCs w:val="22"/>
        </w:rPr>
        <w:t>"Son derechos fundamentales de los niños: la vida, la integridad física, la salud y la seguridad social, la alimentación equilibrada, su nombre y nacionalidad, tener una familia y no ser separados de ella, el cuidado y amor, la educación y la cultura, la recreación y la libre expresión de su opinión. (...)"</w:t>
      </w:r>
      <w:r>
        <w:rPr>
          <w:rFonts w:ascii="Times New Roman" w:eastAsia="Times New Roman" w:hAnsi="Times New Roman" w:cs="Times New Roman"/>
          <w:sz w:val="22"/>
          <w:szCs w:val="22"/>
        </w:rPr>
        <w:t xml:space="preserve">. Artículo 45. </w:t>
      </w:r>
      <w:r>
        <w:rPr>
          <w:rFonts w:ascii="Times New Roman" w:eastAsia="Times New Roman" w:hAnsi="Times New Roman" w:cs="Times New Roman"/>
          <w:b w:val="0"/>
          <w:i/>
          <w:sz w:val="22"/>
          <w:szCs w:val="22"/>
        </w:rPr>
        <w:t>"El adolescente tiene derecho a la protección y a la formación integral. El Estado y la sociedad garantizarán la participación activa de los jóvenes en los organismos públicos y privados que tengan a cargo la protección, educación y progreso de la juventud."</w:t>
      </w:r>
    </w:p>
    <w:p w14:paraId="1AF28F17"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21" w:name="_heading=h.2xds7bl0c36b" w:colFirst="0" w:colLast="0"/>
      <w:bookmarkEnd w:id="21"/>
      <w:r>
        <w:rPr>
          <w:rFonts w:ascii="Times New Roman" w:eastAsia="Times New Roman" w:hAnsi="Times New Roman" w:cs="Times New Roman"/>
          <w:sz w:val="22"/>
          <w:szCs w:val="22"/>
        </w:rPr>
        <w:t xml:space="preserve">Desarrollo Económico, Científico y Tecnológico. Artículo 334. </w:t>
      </w:r>
      <w:r>
        <w:rPr>
          <w:rFonts w:ascii="Times New Roman" w:eastAsia="Times New Roman" w:hAnsi="Times New Roman" w:cs="Times New Roman"/>
          <w:b w:val="0"/>
          <w:i/>
          <w:sz w:val="22"/>
          <w:szCs w:val="22"/>
        </w:rPr>
        <w:t>"La dirección general de la economía estará a cargo del Estado. Este intervendrá por mandato de la ley en la explotación de los recursos naturales, en el uso del suelo, en la producción, distribución, utilización y consumo de los bienes, y en los servicios públicos y privados, con el fin de racionalizar la economía para lograr, al mismo tiempo, el mejoramiento de la calidad de vida de los habitantes, la distribución equitativa de las oportunidades y los beneficios del desarrollo y la preservación de un ambiente sano."</w:t>
      </w:r>
    </w:p>
    <w:p w14:paraId="66681C33"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sz w:val="22"/>
          <w:szCs w:val="22"/>
        </w:rPr>
      </w:pPr>
      <w:bookmarkStart w:id="22" w:name="_heading=h.onhsdeob9pn2" w:colFirst="0" w:colLast="0"/>
      <w:bookmarkEnd w:id="22"/>
      <w:r>
        <w:rPr>
          <w:rFonts w:ascii="Times New Roman" w:eastAsia="Times New Roman" w:hAnsi="Times New Roman" w:cs="Times New Roman"/>
          <w:sz w:val="22"/>
          <w:szCs w:val="22"/>
        </w:rPr>
        <w:t xml:space="preserve">Protección a la Innovación y Conocimiento. Artículo 333. </w:t>
      </w:r>
      <w:r>
        <w:rPr>
          <w:rFonts w:ascii="Times New Roman" w:eastAsia="Times New Roman" w:hAnsi="Times New Roman" w:cs="Times New Roman"/>
          <w:b w:val="0"/>
          <w:i/>
          <w:sz w:val="22"/>
          <w:szCs w:val="22"/>
        </w:rPr>
        <w:t>"La actividad económica y la iniciativa privada son libres, dentro de los límites del bien común. (...) El Estado fortalecerá las organizaciones solidarias y estimulará el desarrollo empresarial."</w:t>
      </w:r>
    </w:p>
    <w:p w14:paraId="430ECF3B"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Estos artículos reflejan la obligación del Estado de promover el desarrollo científico, tecnológico, cultural y educativo de los colombianos, con enfoque en la igualdad de oportunidades y la no discriminación. En el contexto STEAM, estas disposiciones fortalecen la integración de disciplinas esenciales para la formación de una sociedad competitiva, innovadora e incluyente, alineada con las demandas del siglo XXI.</w:t>
      </w:r>
    </w:p>
    <w:p w14:paraId="2A30EA32" w14:textId="77777777" w:rsidR="00A615A6" w:rsidRDefault="00A92D00">
      <w:pPr>
        <w:spacing w:line="360" w:lineRule="auto"/>
        <w:ind w:right="-220"/>
        <w:jc w:val="both"/>
        <w:rPr>
          <w:rFonts w:ascii="Times New Roman" w:eastAsia="Times New Roman" w:hAnsi="Times New Roman" w:cs="Times New Roman"/>
          <w:b/>
        </w:rPr>
      </w:pPr>
      <w:r>
        <w:rPr>
          <w:rFonts w:ascii="Times New Roman" w:eastAsia="Times New Roman" w:hAnsi="Times New Roman" w:cs="Times New Roman"/>
          <w:b/>
        </w:rPr>
        <w:t>6.3. Normas de rango reglamentario.</w:t>
      </w:r>
    </w:p>
    <w:p w14:paraId="319538E3" w14:textId="77777777" w:rsidR="00A615A6" w:rsidRDefault="00A92D00">
      <w:pPr>
        <w:spacing w:before="240" w:line="360" w:lineRule="auto"/>
        <w:ind w:right="-220"/>
        <w:jc w:val="both"/>
        <w:rPr>
          <w:rFonts w:ascii="Times New Roman" w:eastAsia="Times New Roman" w:hAnsi="Times New Roman" w:cs="Times New Roman"/>
          <w:b/>
          <w:u w:val="single"/>
        </w:rPr>
      </w:pPr>
      <w:r>
        <w:rPr>
          <w:rFonts w:ascii="Times New Roman" w:eastAsia="Times New Roman" w:hAnsi="Times New Roman" w:cs="Times New Roman"/>
          <w:b/>
          <w:u w:val="single"/>
        </w:rPr>
        <w:t>6.3.1. Del orden nacional</w:t>
      </w:r>
    </w:p>
    <w:p w14:paraId="44B42332" w14:textId="77777777" w:rsidR="00A615A6" w:rsidRDefault="00A92D00">
      <w:pPr>
        <w:pStyle w:val="Ttulo4"/>
        <w:keepNext w:val="0"/>
        <w:keepLines w:val="0"/>
        <w:spacing w:line="360" w:lineRule="auto"/>
        <w:ind w:right="-220"/>
        <w:jc w:val="both"/>
        <w:rPr>
          <w:rFonts w:ascii="Times New Roman" w:eastAsia="Times New Roman" w:hAnsi="Times New Roman" w:cs="Times New Roman"/>
          <w:sz w:val="22"/>
          <w:szCs w:val="22"/>
        </w:rPr>
      </w:pPr>
      <w:bookmarkStart w:id="23" w:name="_heading=h.wd60ozg4qk3i" w:colFirst="0" w:colLast="0"/>
      <w:bookmarkEnd w:id="23"/>
      <w:r>
        <w:rPr>
          <w:rFonts w:ascii="Times New Roman" w:eastAsia="Times New Roman" w:hAnsi="Times New Roman" w:cs="Times New Roman"/>
          <w:sz w:val="22"/>
          <w:szCs w:val="22"/>
        </w:rPr>
        <w:t xml:space="preserve">Derecho a la Educación y Formación STEAM. </w:t>
      </w:r>
    </w:p>
    <w:p w14:paraId="4DB720FC" w14:textId="77777777" w:rsidR="00A615A6" w:rsidRDefault="00A92D00">
      <w:pPr>
        <w:pStyle w:val="Ttulo4"/>
        <w:keepNext w:val="0"/>
        <w:keepLines w:val="0"/>
        <w:numPr>
          <w:ilvl w:val="0"/>
          <w:numId w:val="5"/>
        </w:numPr>
        <w:spacing w:after="0" w:line="360" w:lineRule="auto"/>
        <w:ind w:right="-220"/>
        <w:jc w:val="both"/>
        <w:rPr>
          <w:rFonts w:ascii="Times New Roman" w:eastAsia="Times New Roman" w:hAnsi="Times New Roman" w:cs="Times New Roman"/>
        </w:rPr>
      </w:pPr>
      <w:bookmarkStart w:id="24" w:name="_heading=h.gpboz9pi7bw8" w:colFirst="0" w:colLast="0"/>
      <w:bookmarkEnd w:id="24"/>
      <w:r>
        <w:rPr>
          <w:rFonts w:ascii="Times New Roman" w:eastAsia="Times New Roman" w:hAnsi="Times New Roman" w:cs="Times New Roman"/>
          <w:sz w:val="22"/>
          <w:szCs w:val="22"/>
        </w:rPr>
        <w:t xml:space="preserve">Decreto 4904 de 2009. </w:t>
      </w:r>
      <w:r>
        <w:rPr>
          <w:rFonts w:ascii="Times New Roman" w:eastAsia="Times New Roman" w:hAnsi="Times New Roman" w:cs="Times New Roman"/>
          <w:b w:val="0"/>
          <w:i/>
        </w:rPr>
        <w:t>"Los programas de formación académica tienen por objeto la adquisición de conocimientos y habilidades en los diversos temas de la ciencia, las matemáticas, la técnica, la tecnología, las humanidades, el arte, los idiomas, la recreación y el deporte."</w:t>
      </w:r>
    </w:p>
    <w:p w14:paraId="05794C00" w14:textId="77777777" w:rsidR="00A615A6" w:rsidRDefault="00A92D00">
      <w:pPr>
        <w:numPr>
          <w:ilvl w:val="0"/>
          <w:numId w:val="5"/>
        </w:numPr>
        <w:spacing w:line="360" w:lineRule="auto"/>
        <w:ind w:right="-220"/>
        <w:jc w:val="both"/>
        <w:rPr>
          <w:rFonts w:ascii="Times New Roman" w:eastAsia="Times New Roman" w:hAnsi="Times New Roman" w:cs="Times New Roman"/>
        </w:rPr>
      </w:pPr>
      <w:r>
        <w:rPr>
          <w:rFonts w:ascii="Times New Roman" w:eastAsia="Times New Roman" w:hAnsi="Times New Roman" w:cs="Times New Roman"/>
          <w:b/>
        </w:rPr>
        <w:t xml:space="preserve">Resolución 15177 de 2022. </w:t>
      </w:r>
      <w:r>
        <w:rPr>
          <w:rFonts w:ascii="Times New Roman" w:eastAsia="Times New Roman" w:hAnsi="Times New Roman" w:cs="Times New Roman"/>
          <w:i/>
        </w:rPr>
        <w:t>"Por medio de la cual se reglamenta la metodología a distancia para la oferta y desarrollo de Programas del Servicio de Educación para el Trabajo y el Desarrollo Humano."</w:t>
      </w:r>
    </w:p>
    <w:p w14:paraId="1965576C" w14:textId="77777777" w:rsidR="00A615A6" w:rsidRDefault="00A92D00">
      <w:pPr>
        <w:numPr>
          <w:ilvl w:val="0"/>
          <w:numId w:val="5"/>
        </w:numPr>
        <w:spacing w:line="360" w:lineRule="auto"/>
        <w:ind w:right="-220"/>
        <w:jc w:val="both"/>
        <w:rPr>
          <w:rFonts w:ascii="Times New Roman" w:eastAsia="Times New Roman" w:hAnsi="Times New Roman" w:cs="Times New Roman"/>
        </w:rPr>
      </w:pPr>
      <w:r>
        <w:rPr>
          <w:rFonts w:ascii="Times New Roman" w:eastAsia="Times New Roman" w:hAnsi="Times New Roman" w:cs="Times New Roman"/>
          <w:b/>
        </w:rPr>
        <w:t>Ley 2314 de 2023.</w:t>
      </w:r>
      <w:r>
        <w:rPr>
          <w:rFonts w:ascii="Times New Roman" w:eastAsia="Times New Roman" w:hAnsi="Times New Roman" w:cs="Times New Roman"/>
          <w:b/>
          <w:i/>
        </w:rPr>
        <w:t xml:space="preserve"> </w:t>
      </w:r>
      <w:r>
        <w:rPr>
          <w:rFonts w:ascii="Times New Roman" w:eastAsia="Times New Roman" w:hAnsi="Times New Roman" w:cs="Times New Roman"/>
          <w:i/>
        </w:rPr>
        <w:t>"Por medio de la cual se promueve la participación de niñas, adolescentes y mujeres en ciencia, tecnología, ingeniería y matemáticas, y se dictan otras disposiciones."</w:t>
      </w:r>
    </w:p>
    <w:p w14:paraId="5FD77F48" w14:textId="77777777" w:rsidR="00A615A6" w:rsidRDefault="00A92D00">
      <w:pPr>
        <w:numPr>
          <w:ilvl w:val="0"/>
          <w:numId w:val="5"/>
        </w:numPr>
        <w:spacing w:after="240" w:line="360" w:lineRule="auto"/>
        <w:ind w:right="-220"/>
        <w:jc w:val="both"/>
        <w:rPr>
          <w:rFonts w:ascii="Times New Roman" w:eastAsia="Times New Roman" w:hAnsi="Times New Roman" w:cs="Times New Roman"/>
        </w:rPr>
      </w:pPr>
      <w:r>
        <w:rPr>
          <w:rFonts w:ascii="Times New Roman" w:eastAsia="Times New Roman" w:hAnsi="Times New Roman" w:cs="Times New Roman"/>
          <w:b/>
        </w:rPr>
        <w:t>Proyecto de Decreto Reglamentario de la Ley 2314 de 2023.</w:t>
      </w:r>
      <w:r>
        <w:rPr>
          <w:rFonts w:ascii="Times New Roman" w:eastAsia="Times New Roman" w:hAnsi="Times New Roman" w:cs="Times New Roman"/>
          <w:i/>
        </w:rPr>
        <w:t xml:space="preserve"> "Por medio del cual se reglamenta la Ley 2314 de 2023 que promueve la participación de niñas, adolescentes y mujeres en ciencia, tecnología, ingeniería y matemáticas."</w:t>
      </w:r>
    </w:p>
    <w:p w14:paraId="693ADE12"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rPr>
      </w:pPr>
      <w:bookmarkStart w:id="25" w:name="_heading=h.3e9ihx6vwxmb" w:colFirst="0" w:colLast="0"/>
      <w:bookmarkEnd w:id="25"/>
      <w:r>
        <w:rPr>
          <w:rFonts w:ascii="Times New Roman" w:eastAsia="Times New Roman" w:hAnsi="Times New Roman" w:cs="Times New Roman"/>
          <w:b w:val="0"/>
          <w:sz w:val="22"/>
          <w:szCs w:val="22"/>
        </w:rPr>
        <w:t xml:space="preserve">Fomento de la Ciencia, la Tecnología y la Innovación. </w:t>
      </w:r>
      <w:r>
        <w:rPr>
          <w:rFonts w:ascii="Times New Roman" w:eastAsia="Times New Roman" w:hAnsi="Times New Roman" w:cs="Times New Roman"/>
          <w:sz w:val="22"/>
          <w:szCs w:val="22"/>
        </w:rPr>
        <w:t>Ley 1286 de 2009.</w:t>
      </w:r>
      <w:r>
        <w:rPr>
          <w:rFonts w:ascii="Times New Roman" w:eastAsia="Times New Roman" w:hAnsi="Times New Roman" w:cs="Times New Roman"/>
          <w:b w:val="0"/>
          <w:i/>
          <w:sz w:val="22"/>
          <w:szCs w:val="22"/>
        </w:rPr>
        <w:t xml:space="preserve"> </w:t>
      </w:r>
      <w:r>
        <w:rPr>
          <w:rFonts w:ascii="Times New Roman" w:eastAsia="Times New Roman" w:hAnsi="Times New Roman" w:cs="Times New Roman"/>
          <w:b w:val="0"/>
          <w:i/>
        </w:rPr>
        <w:t xml:space="preserve">"Por medio de la cual se transforma a Colciencias en el Departamento Administrativo de Ciencia, Tecnología e Innovación (hoy </w:t>
      </w:r>
      <w:proofErr w:type="spellStart"/>
      <w:r>
        <w:rPr>
          <w:rFonts w:ascii="Times New Roman" w:eastAsia="Times New Roman" w:hAnsi="Times New Roman" w:cs="Times New Roman"/>
          <w:b w:val="0"/>
          <w:i/>
        </w:rPr>
        <w:t>Minciencias</w:t>
      </w:r>
      <w:proofErr w:type="spellEnd"/>
      <w:r>
        <w:rPr>
          <w:rFonts w:ascii="Times New Roman" w:eastAsia="Times New Roman" w:hAnsi="Times New Roman" w:cs="Times New Roman"/>
          <w:b w:val="0"/>
          <w:i/>
        </w:rPr>
        <w:t>) y se fortalece la política pública de ciencia, tecnología e innovación.".</w:t>
      </w:r>
      <w:r>
        <w:rPr>
          <w:rFonts w:ascii="Times New Roman" w:eastAsia="Times New Roman" w:hAnsi="Times New Roman" w:cs="Times New Roman"/>
        </w:rPr>
        <w:t xml:space="preserve"> Plan Nacional de Desarrollo 2022-2026. </w:t>
      </w:r>
      <w:r>
        <w:rPr>
          <w:rFonts w:ascii="Times New Roman" w:eastAsia="Times New Roman" w:hAnsi="Times New Roman" w:cs="Times New Roman"/>
          <w:b w:val="0"/>
          <w:i/>
        </w:rPr>
        <w:t>"Establece estrategias para fortalecer la educación en áreas STEAM, promoviendo la innovación y el desarrollo tecnológico en el país."</w:t>
      </w:r>
    </w:p>
    <w:p w14:paraId="12664E7B"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rPr>
      </w:pPr>
      <w:bookmarkStart w:id="26" w:name="_heading=h.7adpqxj160lg" w:colFirst="0" w:colLast="0"/>
      <w:bookmarkEnd w:id="26"/>
      <w:r>
        <w:rPr>
          <w:rFonts w:ascii="Times New Roman" w:eastAsia="Times New Roman" w:hAnsi="Times New Roman" w:cs="Times New Roman"/>
          <w:sz w:val="22"/>
          <w:szCs w:val="22"/>
        </w:rPr>
        <w:t xml:space="preserve">Economía Creativa. Ley 1834 de 2017 (Ley Naranja). </w:t>
      </w:r>
      <w:r>
        <w:rPr>
          <w:rFonts w:ascii="Times New Roman" w:eastAsia="Times New Roman" w:hAnsi="Times New Roman" w:cs="Times New Roman"/>
          <w:b w:val="0"/>
          <w:i/>
        </w:rPr>
        <w:t>"Por medio de la cual se fomenta la economía creativa Ley Naranja, impulsando las industrias culturales y creativas en Colombia."</w:t>
      </w:r>
    </w:p>
    <w:p w14:paraId="79DD7469"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rPr>
      </w:pPr>
      <w:bookmarkStart w:id="27" w:name="_heading=h.y4j76k1emga6" w:colFirst="0" w:colLast="0"/>
      <w:bookmarkEnd w:id="27"/>
      <w:r>
        <w:rPr>
          <w:rFonts w:ascii="Times New Roman" w:eastAsia="Times New Roman" w:hAnsi="Times New Roman" w:cs="Times New Roman"/>
          <w:sz w:val="22"/>
          <w:szCs w:val="22"/>
        </w:rPr>
        <w:t xml:space="preserve">Igualdad de Oportunidades y Enfoque de Género en STEAM. CONPES 4080 de 2022. </w:t>
      </w:r>
      <w:r>
        <w:rPr>
          <w:rFonts w:ascii="Times New Roman" w:eastAsia="Times New Roman" w:hAnsi="Times New Roman" w:cs="Times New Roman"/>
          <w:b w:val="0"/>
          <w:i/>
        </w:rPr>
        <w:t>"Política Pública de Equidad de Género, que incluye estrategias para promover la participación de mujeres en áreas de ciencia, tecnología, ingeniería y matemáticas."</w:t>
      </w:r>
    </w:p>
    <w:p w14:paraId="3FC7D508" w14:textId="77777777" w:rsidR="00A615A6" w:rsidRDefault="00A92D00">
      <w:pPr>
        <w:pStyle w:val="Ttulo4"/>
        <w:keepNext w:val="0"/>
        <w:keepLines w:val="0"/>
        <w:spacing w:line="360" w:lineRule="auto"/>
        <w:ind w:right="-220"/>
        <w:jc w:val="both"/>
        <w:rPr>
          <w:rFonts w:ascii="Times New Roman" w:eastAsia="Times New Roman" w:hAnsi="Times New Roman" w:cs="Times New Roman"/>
          <w:b w:val="0"/>
          <w:i/>
        </w:rPr>
      </w:pPr>
      <w:bookmarkStart w:id="28" w:name="_heading=h.k87n5nom9evp" w:colFirst="0" w:colLast="0"/>
      <w:bookmarkEnd w:id="28"/>
      <w:r>
        <w:rPr>
          <w:rFonts w:ascii="Times New Roman" w:eastAsia="Times New Roman" w:hAnsi="Times New Roman" w:cs="Times New Roman"/>
          <w:sz w:val="22"/>
          <w:szCs w:val="22"/>
        </w:rPr>
        <w:t xml:space="preserve">Clasificación y Reglamentación de Programas Educativos. Decreto 923 de 2024. </w:t>
      </w:r>
      <w:r>
        <w:rPr>
          <w:rFonts w:ascii="Times New Roman" w:eastAsia="Times New Roman" w:hAnsi="Times New Roman" w:cs="Times New Roman"/>
          <w:b w:val="0"/>
          <w:i/>
        </w:rPr>
        <w:t>"Fortalecer la educación media (académica y técnica), la educación para el trabajo y desarrollo humano y la educación superior, de acuerdo con el contexto regional, rural y de zonas vulnerables fomentando la permanencia de los estudiantes en el sistema."</w:t>
      </w:r>
    </w:p>
    <w:p w14:paraId="70447B88" w14:textId="77777777" w:rsidR="00A615A6" w:rsidRDefault="00A92D00">
      <w:pPr>
        <w:spacing w:before="240" w:line="360" w:lineRule="auto"/>
        <w:ind w:right="-220"/>
        <w:jc w:val="both"/>
        <w:rPr>
          <w:rFonts w:ascii="Times New Roman" w:eastAsia="Times New Roman" w:hAnsi="Times New Roman" w:cs="Times New Roman"/>
          <w:b/>
          <w:u w:val="single"/>
        </w:rPr>
      </w:pPr>
      <w:r>
        <w:rPr>
          <w:rFonts w:ascii="Times New Roman" w:eastAsia="Times New Roman" w:hAnsi="Times New Roman" w:cs="Times New Roman"/>
          <w:b/>
          <w:u w:val="single"/>
        </w:rPr>
        <w:t>6.3.2. Del orden distrital</w:t>
      </w:r>
    </w:p>
    <w:p w14:paraId="0E43F244" w14:textId="77777777" w:rsidR="00A615A6" w:rsidRDefault="00A615A6">
      <w:pPr>
        <w:ind w:right="-220"/>
      </w:pPr>
    </w:p>
    <w:p w14:paraId="5FB1D6DE" w14:textId="77777777" w:rsidR="00A615A6" w:rsidRDefault="00A92D00">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Resolución 3238 de 2022</w:t>
      </w:r>
      <w:r>
        <w:rPr>
          <w:rFonts w:ascii="Times New Roman" w:eastAsia="Times New Roman" w:hAnsi="Times New Roman" w:cs="Times New Roman"/>
          <w:sz w:val="22"/>
          <w:szCs w:val="22"/>
        </w:rPr>
        <w:t>.</w:t>
      </w:r>
      <w:r>
        <w:rPr>
          <w:rFonts w:ascii="Times New Roman" w:eastAsia="Times New Roman" w:hAnsi="Times New Roman" w:cs="Times New Roman"/>
          <w:i/>
          <w:sz w:val="22"/>
          <w:szCs w:val="22"/>
        </w:rPr>
        <w:t xml:space="preserve"> "Por la cual se establecen los lineamientos para la implementación de la estrategia de fortalecimiento de competencias en ciencia, tecnología, ingeniería, arte y matemáticas (STEAM) en las instituciones educativas del Distrito Capital.". Manual de Técnica Normativa Distrital. </w:t>
      </w:r>
      <w:r>
        <w:rPr>
          <w:rFonts w:ascii="Times New Roman" w:eastAsia="Times New Roman" w:hAnsi="Times New Roman" w:cs="Times New Roman"/>
          <w:b/>
          <w:sz w:val="22"/>
          <w:szCs w:val="22"/>
        </w:rPr>
        <w:t xml:space="preserve">"El Manual de Técnica Normativa Distrital nace como instrumento de la Política de Gobernanza Regulatoria Distrital, adoptada mediante el Decreto Distrital 474 de 2022, </w:t>
      </w:r>
      <w:r>
        <w:rPr>
          <w:rFonts w:ascii="Times New Roman" w:eastAsia="Times New Roman" w:hAnsi="Times New Roman" w:cs="Times New Roman"/>
          <w:i/>
          <w:sz w:val="22"/>
          <w:szCs w:val="22"/>
        </w:rPr>
        <w:t xml:space="preserve">y los lineamientos de la Organización para la Cooperación y Desarrollo Económicos (OCDE) en materia de mejora normativa." </w:t>
      </w:r>
      <w:r>
        <w:rPr>
          <w:rFonts w:ascii="Times New Roman" w:eastAsia="Times New Roman" w:hAnsi="Times New Roman" w:cs="Times New Roman"/>
          <w:sz w:val="22"/>
          <w:szCs w:val="22"/>
        </w:rPr>
        <w:t>(Alcaldía de Bogotá, 2022)</w:t>
      </w:r>
      <w:r>
        <w:rPr>
          <w:rFonts w:ascii="Times New Roman" w:eastAsia="Times New Roman" w:hAnsi="Times New Roman" w:cs="Times New Roman"/>
          <w:sz w:val="22"/>
          <w:szCs w:val="22"/>
          <w:vertAlign w:val="superscript"/>
        </w:rPr>
        <w:footnoteReference w:id="65"/>
      </w:r>
    </w:p>
    <w:p w14:paraId="448CFD62"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b/>
          <w:sz w:val="22"/>
          <w:szCs w:val="22"/>
        </w:rPr>
      </w:pPr>
    </w:p>
    <w:p w14:paraId="6FE1604E"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COMPETENCIA DEL CONCEJO DE BOGOTÁ D.C.</w:t>
      </w:r>
    </w:p>
    <w:p w14:paraId="34388A05" w14:textId="77777777" w:rsidR="00A615A6" w:rsidRDefault="00A615A6">
      <w:pPr>
        <w:spacing w:line="360" w:lineRule="auto"/>
        <w:ind w:right="-220"/>
        <w:jc w:val="both"/>
        <w:rPr>
          <w:rFonts w:ascii="Times New Roman" w:eastAsia="Times New Roman" w:hAnsi="Times New Roman" w:cs="Times New Roman"/>
          <w:sz w:val="22"/>
          <w:szCs w:val="22"/>
        </w:rPr>
      </w:pPr>
    </w:p>
    <w:p w14:paraId="7813BB0E" w14:textId="77777777" w:rsidR="00A615A6" w:rsidRDefault="00A92D00">
      <w:pPr>
        <w:ind w:right="-220"/>
        <w:jc w:val="both"/>
        <w:rPr>
          <w:rFonts w:ascii="Times New Roman" w:eastAsia="Times New Roman" w:hAnsi="Times New Roman" w:cs="Times New Roman"/>
        </w:rPr>
      </w:pPr>
      <w:r>
        <w:rPr>
          <w:rFonts w:ascii="Times New Roman" w:eastAsia="Times New Roman" w:hAnsi="Times New Roman" w:cs="Times New Roman"/>
        </w:rPr>
        <w:t xml:space="preserve">l Concejo de Bogotá D.C. tiene la competencia para dictar normas relacionadas con la naturaleza y el alcance del presente Proyecto de Acuerdo, según las disposiciones constitucionales y legales vigentes. En primer lugar, el </w:t>
      </w:r>
      <w:r>
        <w:rPr>
          <w:rFonts w:ascii="Times New Roman" w:eastAsia="Times New Roman" w:hAnsi="Times New Roman" w:cs="Times New Roman"/>
          <w:i/>
        </w:rPr>
        <w:t>artículo 313 de la Constitución Política de Colombia</w:t>
      </w:r>
      <w:r>
        <w:rPr>
          <w:rFonts w:ascii="Times New Roman" w:eastAsia="Times New Roman" w:hAnsi="Times New Roman" w:cs="Times New Roman"/>
        </w:rPr>
        <w:t xml:space="preserve"> establece que:</w:t>
      </w:r>
    </w:p>
    <w:p w14:paraId="27FBEEBD" w14:textId="77777777" w:rsidR="00A615A6" w:rsidRDefault="00A615A6">
      <w:pPr>
        <w:ind w:right="-220"/>
        <w:jc w:val="both"/>
        <w:rPr>
          <w:rFonts w:ascii="Times New Roman" w:eastAsia="Times New Roman" w:hAnsi="Times New Roman" w:cs="Times New Roman"/>
        </w:rPr>
      </w:pPr>
    </w:p>
    <w:p w14:paraId="07029CCF" w14:textId="77777777" w:rsidR="00A615A6" w:rsidRDefault="00A92D00">
      <w:pPr>
        <w:ind w:left="566" w:right="-220"/>
        <w:jc w:val="both"/>
        <w:rPr>
          <w:rFonts w:ascii="Times New Roman" w:eastAsia="Times New Roman" w:hAnsi="Times New Roman" w:cs="Times New Roman"/>
          <w:i/>
        </w:rPr>
      </w:pPr>
      <w:r>
        <w:rPr>
          <w:rFonts w:ascii="Times New Roman" w:eastAsia="Times New Roman" w:hAnsi="Times New Roman" w:cs="Times New Roman"/>
        </w:rPr>
        <w:t>“</w:t>
      </w:r>
      <w:r>
        <w:rPr>
          <w:rFonts w:ascii="Times New Roman" w:eastAsia="Times New Roman" w:hAnsi="Times New Roman" w:cs="Times New Roman"/>
          <w:i/>
        </w:rPr>
        <w:t>ARTÍCULO 313. Corresponde a los Concejos:</w:t>
      </w:r>
    </w:p>
    <w:p w14:paraId="0A466401" w14:textId="77777777" w:rsidR="00A615A6" w:rsidRDefault="00A615A6">
      <w:pPr>
        <w:ind w:left="566" w:right="-220"/>
        <w:jc w:val="both"/>
        <w:rPr>
          <w:rFonts w:ascii="Times New Roman" w:eastAsia="Times New Roman" w:hAnsi="Times New Roman" w:cs="Times New Roman"/>
          <w:i/>
        </w:rPr>
      </w:pPr>
    </w:p>
    <w:p w14:paraId="497733AF" w14:textId="77777777" w:rsidR="00A615A6" w:rsidRDefault="00A92D00">
      <w:pPr>
        <w:ind w:left="566" w:right="-220"/>
        <w:jc w:val="both"/>
        <w:rPr>
          <w:rFonts w:ascii="Times New Roman" w:eastAsia="Times New Roman" w:hAnsi="Times New Roman" w:cs="Times New Roman"/>
          <w:highlight w:val="white"/>
        </w:rPr>
      </w:pPr>
      <w:r>
        <w:rPr>
          <w:rFonts w:ascii="Times New Roman" w:eastAsia="Times New Roman" w:hAnsi="Times New Roman" w:cs="Times New Roman"/>
          <w:i/>
        </w:rPr>
        <w:t xml:space="preserve">1. Reglamentar las funciones y la eficiente prestación de los servicios a cargo del municipio </w:t>
      </w:r>
      <w:r>
        <w:rPr>
          <w:rFonts w:ascii="Times New Roman" w:eastAsia="Times New Roman" w:hAnsi="Times New Roman" w:cs="Times New Roman"/>
          <w:i/>
          <w:highlight w:val="white"/>
        </w:rPr>
        <w:t>[...]”</w:t>
      </w:r>
      <w:r>
        <w:rPr>
          <w:rFonts w:ascii="Times New Roman" w:eastAsia="Times New Roman" w:hAnsi="Times New Roman" w:cs="Times New Roman"/>
          <w:highlight w:val="white"/>
        </w:rPr>
        <w:t>.</w:t>
      </w:r>
    </w:p>
    <w:p w14:paraId="7D0698B0" w14:textId="77777777" w:rsidR="00A615A6" w:rsidRDefault="00A615A6">
      <w:pPr>
        <w:ind w:left="566" w:right="-220"/>
        <w:jc w:val="both"/>
        <w:rPr>
          <w:rFonts w:ascii="Times New Roman" w:eastAsia="Times New Roman" w:hAnsi="Times New Roman" w:cs="Times New Roman"/>
          <w:highlight w:val="white"/>
        </w:rPr>
      </w:pPr>
    </w:p>
    <w:p w14:paraId="011C8929" w14:textId="77777777" w:rsidR="00A615A6" w:rsidRDefault="00A92D00">
      <w:pPr>
        <w:ind w:right="-2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En segundo lugar, el </w:t>
      </w:r>
      <w:r>
        <w:rPr>
          <w:rFonts w:ascii="Times New Roman" w:eastAsia="Times New Roman" w:hAnsi="Times New Roman" w:cs="Times New Roman"/>
          <w:i/>
          <w:highlight w:val="white"/>
        </w:rPr>
        <w:t>artículo 12 del Decreto Ley 1421 de 1993 - Estatuto Orgánico de Bogotá -</w:t>
      </w:r>
      <w:r>
        <w:rPr>
          <w:rFonts w:ascii="Times New Roman" w:eastAsia="Times New Roman" w:hAnsi="Times New Roman" w:cs="Times New Roman"/>
          <w:highlight w:val="white"/>
        </w:rPr>
        <w:t xml:space="preserve"> estipula que:</w:t>
      </w:r>
    </w:p>
    <w:p w14:paraId="3EC688B1" w14:textId="77777777" w:rsidR="00A615A6" w:rsidRDefault="00A615A6">
      <w:pPr>
        <w:ind w:right="-220"/>
        <w:jc w:val="both"/>
        <w:rPr>
          <w:rFonts w:ascii="Times New Roman" w:eastAsia="Times New Roman" w:hAnsi="Times New Roman" w:cs="Times New Roman"/>
          <w:highlight w:val="white"/>
        </w:rPr>
      </w:pPr>
    </w:p>
    <w:p w14:paraId="6176BAE0" w14:textId="77777777" w:rsidR="00A615A6" w:rsidRDefault="00A92D00">
      <w:pPr>
        <w:ind w:left="566" w:right="-220"/>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“ARTÍCULO 12. Atribuciones. Corresponde al Concejo Distrital, de conformidad con la Constitución y a la ley:</w:t>
      </w:r>
    </w:p>
    <w:p w14:paraId="22EC211B" w14:textId="77777777" w:rsidR="00A615A6" w:rsidRDefault="00A615A6">
      <w:pPr>
        <w:ind w:left="566" w:right="-220"/>
        <w:jc w:val="both"/>
        <w:rPr>
          <w:rFonts w:ascii="Times New Roman" w:eastAsia="Times New Roman" w:hAnsi="Times New Roman" w:cs="Times New Roman"/>
          <w:i/>
          <w:highlight w:val="white"/>
        </w:rPr>
      </w:pPr>
    </w:p>
    <w:p w14:paraId="57BEDAB4" w14:textId="77777777" w:rsidR="00A615A6" w:rsidRDefault="00A92D00">
      <w:pPr>
        <w:ind w:left="566" w:right="-220"/>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1. Dictar las normas necesarias para garantizar el adecuado cumplimiento de las funciones y la eficiente prestación de los servicios a cargo del Distrito [...]”.</w:t>
      </w:r>
    </w:p>
    <w:p w14:paraId="4FD919AF" w14:textId="77777777" w:rsidR="00A615A6" w:rsidRDefault="00A615A6">
      <w:pPr>
        <w:spacing w:line="360" w:lineRule="auto"/>
        <w:ind w:right="-220"/>
        <w:rPr>
          <w:rFonts w:ascii="Times New Roman" w:eastAsia="Times New Roman" w:hAnsi="Times New Roman" w:cs="Times New Roman"/>
          <w:sz w:val="26"/>
          <w:szCs w:val="26"/>
        </w:rPr>
      </w:pPr>
    </w:p>
    <w:p w14:paraId="56BB36CC" w14:textId="77777777" w:rsidR="00A615A6" w:rsidRDefault="00A615A6">
      <w:pPr>
        <w:spacing w:line="360" w:lineRule="auto"/>
        <w:ind w:right="-220"/>
        <w:jc w:val="both"/>
        <w:rPr>
          <w:rFonts w:ascii="Times New Roman" w:eastAsia="Times New Roman" w:hAnsi="Times New Roman" w:cs="Times New Roman"/>
          <w:sz w:val="22"/>
          <w:szCs w:val="22"/>
        </w:rPr>
      </w:pPr>
    </w:p>
    <w:p w14:paraId="67322359" w14:textId="77777777" w:rsidR="00A615A6" w:rsidRDefault="00A92D00">
      <w:pPr>
        <w:numPr>
          <w:ilvl w:val="0"/>
          <w:numId w:val="4"/>
        </w:numPr>
        <w:pBdr>
          <w:top w:val="nil"/>
          <w:left w:val="nil"/>
          <w:bottom w:val="nil"/>
          <w:right w:val="nil"/>
          <w:between w:val="nil"/>
        </w:pBdr>
        <w:spacing w:line="360" w:lineRule="auto"/>
        <w:ind w:right="-220"/>
        <w:jc w:val="both"/>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IMPACTO FISCAL</w:t>
      </w:r>
      <w:r>
        <w:rPr>
          <w:rFonts w:ascii="Times New Roman" w:eastAsia="Times New Roman" w:hAnsi="Times New Roman" w:cs="Times New Roman"/>
          <w:b/>
          <w:sz w:val="22"/>
          <w:szCs w:val="22"/>
        </w:rPr>
        <w:t>.</w:t>
      </w:r>
    </w:p>
    <w:p w14:paraId="0982F51D"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b/>
          <w:sz w:val="22"/>
          <w:szCs w:val="22"/>
        </w:rPr>
      </w:pPr>
    </w:p>
    <w:p w14:paraId="0001FC9B" w14:textId="77777777" w:rsidR="00A615A6" w:rsidRDefault="00A92D00">
      <w:pPr>
        <w:ind w:right="-220"/>
        <w:jc w:val="both"/>
        <w:rPr>
          <w:rFonts w:ascii="Times New Roman" w:eastAsia="Times New Roman" w:hAnsi="Times New Roman" w:cs="Times New Roman"/>
        </w:rPr>
      </w:pPr>
      <w:r>
        <w:rPr>
          <w:rFonts w:ascii="Times New Roman" w:eastAsia="Times New Roman" w:hAnsi="Times New Roman" w:cs="Times New Roman"/>
        </w:rPr>
        <w:t>La Ley 819 de 2003 “</w:t>
      </w:r>
      <w:r>
        <w:rPr>
          <w:rFonts w:ascii="Times New Roman" w:eastAsia="Times New Roman" w:hAnsi="Times New Roman" w:cs="Times New Roman"/>
          <w:i/>
        </w:rPr>
        <w:t>Por la cual se dictan normas orgánicas en materia de presupuesto, responsabilidad y transparencia fiscal y se dictan otras disposiciones</w:t>
      </w:r>
      <w:r>
        <w:rPr>
          <w:rFonts w:ascii="Times New Roman" w:eastAsia="Times New Roman" w:hAnsi="Times New Roman" w:cs="Times New Roman"/>
        </w:rPr>
        <w:t xml:space="preserve">” en su artículo 7 establece: </w:t>
      </w:r>
    </w:p>
    <w:p w14:paraId="67447A15" w14:textId="77777777" w:rsidR="00A615A6" w:rsidRDefault="00A615A6">
      <w:pPr>
        <w:ind w:right="-220"/>
        <w:jc w:val="both"/>
        <w:rPr>
          <w:rFonts w:ascii="Times New Roman" w:eastAsia="Times New Roman" w:hAnsi="Times New Roman" w:cs="Times New Roman"/>
        </w:rPr>
      </w:pPr>
    </w:p>
    <w:p w14:paraId="490C652D" w14:textId="77777777" w:rsidR="00A615A6" w:rsidRDefault="00A92D00">
      <w:pPr>
        <w:ind w:left="720" w:right="-220"/>
        <w:jc w:val="both"/>
        <w:rPr>
          <w:rFonts w:ascii="Times New Roman" w:eastAsia="Times New Roman" w:hAnsi="Times New Roman" w:cs="Times New Roman"/>
        </w:rPr>
      </w:pPr>
      <w:r>
        <w:rPr>
          <w:rFonts w:ascii="Times New Roman" w:eastAsia="Times New Roman" w:hAnsi="Times New Roman" w:cs="Times New Roman"/>
          <w:i/>
          <w:highlight w:val="white"/>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7B92461C" w14:textId="77777777" w:rsidR="00A615A6" w:rsidRDefault="00A615A6">
      <w:pPr>
        <w:ind w:right="-220"/>
        <w:jc w:val="both"/>
        <w:rPr>
          <w:rFonts w:ascii="Times New Roman" w:eastAsia="Times New Roman" w:hAnsi="Times New Roman" w:cs="Times New Roman"/>
        </w:rPr>
      </w:pPr>
    </w:p>
    <w:p w14:paraId="3598AD6A" w14:textId="77777777" w:rsidR="00A615A6" w:rsidRDefault="00A92D00">
      <w:pPr>
        <w:ind w:left="720" w:right="-220"/>
        <w:jc w:val="both"/>
        <w:rPr>
          <w:rFonts w:ascii="Times New Roman" w:eastAsia="Times New Roman" w:hAnsi="Times New Roman" w:cs="Times New Roman"/>
          <w:sz w:val="26"/>
          <w:szCs w:val="26"/>
        </w:rPr>
      </w:pPr>
      <w:r>
        <w:rPr>
          <w:rFonts w:ascii="Times New Roman" w:eastAsia="Times New Roman" w:hAnsi="Times New Roman" w:cs="Times New Roman"/>
          <w:i/>
          <w:highlight w:val="white"/>
        </w:rPr>
        <w:t>Para estos propósitos, deberá incluirse expresamente en la exposición de motivos y en las ponencias de trámite respectivas los costos fiscales de la iniciativa y la fuente de ingreso adicional generada para el financiamiento de dicho costo”</w:t>
      </w:r>
    </w:p>
    <w:p w14:paraId="3D417E1F" w14:textId="77777777" w:rsidR="00A615A6" w:rsidRDefault="00A615A6">
      <w:pPr>
        <w:spacing w:line="360" w:lineRule="auto"/>
        <w:ind w:right="-220"/>
        <w:jc w:val="both"/>
        <w:rPr>
          <w:rFonts w:ascii="Times New Roman" w:eastAsia="Times New Roman" w:hAnsi="Times New Roman" w:cs="Times New Roman"/>
          <w:sz w:val="22"/>
          <w:szCs w:val="22"/>
        </w:rPr>
      </w:pPr>
    </w:p>
    <w:p w14:paraId="14903119"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En consecuencia, esta iniciativa </w:t>
      </w:r>
      <w:r>
        <w:rPr>
          <w:rFonts w:ascii="Times New Roman" w:eastAsia="Times New Roman" w:hAnsi="Times New Roman" w:cs="Times New Roman"/>
          <w:b/>
          <w:sz w:val="22"/>
          <w:szCs w:val="22"/>
        </w:rPr>
        <w:t>no tiene un impacto fiscal</w:t>
      </w:r>
      <w:r>
        <w:rPr>
          <w:rFonts w:ascii="Times New Roman" w:eastAsia="Times New Roman" w:hAnsi="Times New Roman" w:cs="Times New Roman"/>
          <w:sz w:val="22"/>
          <w:szCs w:val="22"/>
        </w:rPr>
        <w:t xml:space="preserve"> por cuanto no implica la apropiación de recursos adicionales a los sectores y entidades responsables de su implementación. </w:t>
      </w:r>
    </w:p>
    <w:p w14:paraId="7AB84AA5"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b/>
          <w:color w:val="000000"/>
          <w:sz w:val="22"/>
          <w:szCs w:val="22"/>
        </w:rPr>
      </w:pPr>
    </w:p>
    <w:p w14:paraId="0B148F7C" w14:textId="77777777" w:rsidR="00A615A6" w:rsidRDefault="00A615A6">
      <w:pPr>
        <w:pBdr>
          <w:top w:val="nil"/>
          <w:left w:val="nil"/>
          <w:bottom w:val="nil"/>
          <w:right w:val="nil"/>
          <w:between w:val="nil"/>
        </w:pBdr>
        <w:spacing w:line="360" w:lineRule="auto"/>
        <w:ind w:right="-220"/>
        <w:jc w:val="both"/>
        <w:rPr>
          <w:rFonts w:ascii="Times New Roman" w:eastAsia="Times New Roman" w:hAnsi="Times New Roman" w:cs="Times New Roman"/>
          <w:sz w:val="22"/>
          <w:szCs w:val="22"/>
        </w:rPr>
      </w:pPr>
    </w:p>
    <w:p w14:paraId="2ED13F1F" w14:textId="5EAAADF2"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Cordialmente,</w:t>
      </w:r>
      <w:bookmarkStart w:id="29" w:name="_GoBack"/>
      <w:bookmarkEnd w:id="29"/>
    </w:p>
    <w:p w14:paraId="2C6F4F25" w14:textId="77777777" w:rsidR="00A615A6" w:rsidRDefault="00A615A6">
      <w:pPr>
        <w:spacing w:line="360" w:lineRule="auto"/>
        <w:ind w:right="-220"/>
        <w:jc w:val="both"/>
        <w:rPr>
          <w:rFonts w:ascii="Times New Roman" w:eastAsia="Times New Roman" w:hAnsi="Times New Roman" w:cs="Times New Roman"/>
          <w:sz w:val="22"/>
          <w:szCs w:val="22"/>
        </w:rPr>
      </w:pPr>
    </w:p>
    <w:p w14:paraId="453C11D6" w14:textId="77777777" w:rsidR="00A615A6" w:rsidRDefault="00A615A6">
      <w:pPr>
        <w:spacing w:line="360" w:lineRule="auto"/>
        <w:ind w:right="-220"/>
        <w:jc w:val="both"/>
        <w:rPr>
          <w:rFonts w:ascii="Times New Roman" w:eastAsia="Times New Roman" w:hAnsi="Times New Roman" w:cs="Times New Roman"/>
          <w:sz w:val="22"/>
          <w:szCs w:val="22"/>
        </w:rPr>
      </w:pPr>
    </w:p>
    <w:p w14:paraId="2C851EF4" w14:textId="77777777" w:rsidR="00A615A6" w:rsidRDefault="00A615A6">
      <w:pPr>
        <w:spacing w:line="360" w:lineRule="auto"/>
        <w:ind w:right="-220"/>
        <w:jc w:val="both"/>
        <w:rPr>
          <w:rFonts w:ascii="Times New Roman" w:eastAsia="Times New Roman" w:hAnsi="Times New Roman" w:cs="Times New Roman"/>
          <w:sz w:val="22"/>
          <w:szCs w:val="22"/>
        </w:rPr>
      </w:pPr>
    </w:p>
    <w:p w14:paraId="0A0132D0" w14:textId="77777777" w:rsidR="00A615A6" w:rsidRDefault="00A615A6">
      <w:pPr>
        <w:spacing w:line="360" w:lineRule="auto"/>
        <w:ind w:right="-220"/>
        <w:jc w:val="both"/>
        <w:rPr>
          <w:rFonts w:ascii="Times New Roman" w:eastAsia="Times New Roman" w:hAnsi="Times New Roman" w:cs="Times New Roman"/>
          <w:sz w:val="22"/>
          <w:szCs w:val="22"/>
        </w:rPr>
      </w:pPr>
    </w:p>
    <w:p w14:paraId="6B070391" w14:textId="77777777" w:rsidR="00A615A6" w:rsidRDefault="00A92D00">
      <w:pPr>
        <w:spacing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JULIÁN DAVID RODRÍGUEZ SASTOQUE.</w:t>
      </w:r>
    </w:p>
    <w:p w14:paraId="0720BFC0" w14:textId="77777777" w:rsidR="00A615A6" w:rsidRDefault="00A92D00">
      <w:pPr>
        <w:spacing w:line="360" w:lineRule="auto"/>
        <w:ind w:right="-220"/>
        <w:jc w:val="both"/>
        <w:rPr>
          <w:rFonts w:ascii="Times New Roman" w:eastAsia="Times New Roman" w:hAnsi="Times New Roman" w:cs="Times New Roman"/>
          <w:color w:val="3366FF"/>
          <w:sz w:val="22"/>
          <w:szCs w:val="22"/>
        </w:rPr>
      </w:pPr>
      <w:r>
        <w:rPr>
          <w:rFonts w:ascii="Times New Roman" w:eastAsia="Times New Roman" w:hAnsi="Times New Roman" w:cs="Times New Roman"/>
          <w:sz w:val="22"/>
          <w:szCs w:val="22"/>
        </w:rPr>
        <w:t>Concejal de Bogotá D.C.</w:t>
      </w:r>
    </w:p>
    <w:p w14:paraId="0E68D5C9"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Partido Alianza Verde.</w:t>
      </w:r>
    </w:p>
    <w:p w14:paraId="66DE39DD" w14:textId="77777777" w:rsidR="00A615A6" w:rsidRDefault="00A615A6">
      <w:pPr>
        <w:spacing w:line="360" w:lineRule="auto"/>
        <w:ind w:right="-220"/>
        <w:jc w:val="both"/>
        <w:rPr>
          <w:rFonts w:ascii="Times New Roman" w:eastAsia="Times New Roman" w:hAnsi="Times New Roman" w:cs="Times New Roman"/>
          <w:sz w:val="22"/>
          <w:szCs w:val="22"/>
        </w:rPr>
      </w:pPr>
    </w:p>
    <w:p w14:paraId="765EB5D0" w14:textId="2716F81C" w:rsidR="00A615A6" w:rsidRDefault="00A615A6">
      <w:pPr>
        <w:spacing w:line="360" w:lineRule="auto"/>
        <w:ind w:right="-220"/>
        <w:jc w:val="both"/>
        <w:rPr>
          <w:rFonts w:ascii="Times New Roman" w:eastAsia="Times New Roman" w:hAnsi="Times New Roman" w:cs="Times New Roman"/>
          <w:sz w:val="22"/>
          <w:szCs w:val="22"/>
        </w:rPr>
      </w:pPr>
    </w:p>
    <w:p w14:paraId="3738FF39" w14:textId="20A3F843" w:rsidR="00046C9A" w:rsidRDefault="00046C9A">
      <w:pPr>
        <w:spacing w:line="360" w:lineRule="auto"/>
        <w:ind w:right="-220"/>
        <w:jc w:val="both"/>
        <w:rPr>
          <w:rFonts w:ascii="Times New Roman" w:eastAsia="Times New Roman" w:hAnsi="Times New Roman" w:cs="Times New Roman"/>
          <w:sz w:val="22"/>
          <w:szCs w:val="22"/>
        </w:rPr>
      </w:pPr>
    </w:p>
    <w:p w14:paraId="4D77F1EA" w14:textId="0D88741B" w:rsidR="00046C9A" w:rsidRDefault="00046C9A">
      <w:pPr>
        <w:spacing w:line="360" w:lineRule="auto"/>
        <w:ind w:right="-220"/>
        <w:jc w:val="both"/>
        <w:rPr>
          <w:rFonts w:ascii="Times New Roman" w:eastAsia="Times New Roman" w:hAnsi="Times New Roman" w:cs="Times New Roman"/>
          <w:sz w:val="22"/>
          <w:szCs w:val="22"/>
        </w:rPr>
      </w:pPr>
    </w:p>
    <w:p w14:paraId="46DAD7F8" w14:textId="549C2CB8" w:rsidR="00046C9A" w:rsidRDefault="00046C9A">
      <w:pPr>
        <w:spacing w:line="360" w:lineRule="auto"/>
        <w:ind w:right="-220"/>
        <w:jc w:val="both"/>
        <w:rPr>
          <w:rFonts w:ascii="Times New Roman" w:eastAsia="Times New Roman" w:hAnsi="Times New Roman" w:cs="Times New Roman"/>
          <w:sz w:val="22"/>
          <w:szCs w:val="22"/>
        </w:rPr>
      </w:pPr>
    </w:p>
    <w:p w14:paraId="066C70B4" w14:textId="092C6569" w:rsidR="00046C9A" w:rsidRDefault="00046C9A">
      <w:pPr>
        <w:spacing w:line="360" w:lineRule="auto"/>
        <w:ind w:right="-220"/>
        <w:jc w:val="both"/>
        <w:rPr>
          <w:rFonts w:ascii="Times New Roman" w:eastAsia="Times New Roman" w:hAnsi="Times New Roman" w:cs="Times New Roman"/>
          <w:sz w:val="22"/>
          <w:szCs w:val="22"/>
        </w:rPr>
      </w:pPr>
    </w:p>
    <w:p w14:paraId="073B3395" w14:textId="45495A01" w:rsidR="00046C9A" w:rsidRDefault="00046C9A">
      <w:pPr>
        <w:spacing w:line="360" w:lineRule="auto"/>
        <w:ind w:right="-220"/>
        <w:jc w:val="both"/>
        <w:rPr>
          <w:rFonts w:ascii="Times New Roman" w:eastAsia="Times New Roman" w:hAnsi="Times New Roman" w:cs="Times New Roman"/>
          <w:sz w:val="22"/>
          <w:szCs w:val="22"/>
        </w:rPr>
      </w:pPr>
    </w:p>
    <w:p w14:paraId="2A0EC1DD" w14:textId="77777777" w:rsidR="00046C9A" w:rsidRDefault="00046C9A">
      <w:pPr>
        <w:spacing w:line="360" w:lineRule="auto"/>
        <w:ind w:right="-220"/>
        <w:jc w:val="both"/>
        <w:rPr>
          <w:rFonts w:ascii="Times New Roman" w:eastAsia="Times New Roman" w:hAnsi="Times New Roman" w:cs="Times New Roman"/>
          <w:sz w:val="22"/>
          <w:szCs w:val="22"/>
        </w:rPr>
      </w:pPr>
    </w:p>
    <w:p w14:paraId="2A71E74C" w14:textId="744145DD" w:rsidR="00A615A6" w:rsidRDefault="00A92D00" w:rsidP="00046C9A">
      <w:pPr>
        <w:pStyle w:val="Ttulo1"/>
        <w:numPr>
          <w:ilvl w:val="0"/>
          <w:numId w:val="4"/>
        </w:numPr>
        <w:spacing w:line="360" w:lineRule="auto"/>
        <w:ind w:right="-220"/>
        <w:jc w:val="both"/>
        <w:rPr>
          <w:b/>
          <w:sz w:val="22"/>
          <w:szCs w:val="22"/>
        </w:rPr>
      </w:pPr>
      <w:bookmarkStart w:id="30" w:name="_heading=h.n57raiw8c8af" w:colFirst="0" w:colLast="0"/>
      <w:bookmarkEnd w:id="30"/>
      <w:r>
        <w:rPr>
          <w:b/>
          <w:sz w:val="22"/>
          <w:szCs w:val="22"/>
        </w:rPr>
        <w:t>ARTICULADO.</w:t>
      </w:r>
    </w:p>
    <w:p w14:paraId="68934169" w14:textId="77777777" w:rsidR="00046C9A" w:rsidRPr="00046C9A" w:rsidRDefault="00046C9A" w:rsidP="00046C9A"/>
    <w:p w14:paraId="6EC31677" w14:textId="77777777" w:rsidR="00A615A6" w:rsidRDefault="00A615A6">
      <w:pPr>
        <w:spacing w:line="360" w:lineRule="auto"/>
        <w:ind w:right="-220"/>
        <w:jc w:val="both"/>
        <w:rPr>
          <w:rFonts w:ascii="Times New Roman" w:eastAsia="Times New Roman" w:hAnsi="Times New Roman" w:cs="Times New Roman"/>
          <w:sz w:val="22"/>
          <w:szCs w:val="22"/>
        </w:rPr>
      </w:pPr>
    </w:p>
    <w:p w14:paraId="4D41B47D" w14:textId="093B0FEF" w:rsidR="00A615A6" w:rsidRDefault="00A92D00">
      <w:pPr>
        <w:pStyle w:val="Ttulo2"/>
        <w:spacing w:line="360" w:lineRule="auto"/>
        <w:ind w:right="-220"/>
        <w:jc w:val="center"/>
        <w:rPr>
          <w:rFonts w:ascii="Times New Roman" w:eastAsia="Times New Roman" w:hAnsi="Times New Roman" w:cs="Times New Roman"/>
          <w:b/>
          <w:color w:val="000000"/>
          <w:sz w:val="22"/>
          <w:szCs w:val="22"/>
        </w:rPr>
      </w:pPr>
      <w:bookmarkStart w:id="31" w:name="_heading=h.35nkun2" w:colFirst="0" w:colLast="0"/>
      <w:bookmarkEnd w:id="31"/>
      <w:r>
        <w:rPr>
          <w:rFonts w:ascii="Times New Roman" w:eastAsia="Times New Roman" w:hAnsi="Times New Roman" w:cs="Times New Roman"/>
          <w:b/>
          <w:color w:val="000000"/>
          <w:sz w:val="22"/>
          <w:szCs w:val="22"/>
        </w:rPr>
        <w:t xml:space="preserve">PROYECTO DE </w:t>
      </w:r>
      <w:r w:rsidRPr="00046C9A">
        <w:rPr>
          <w:rFonts w:ascii="Times New Roman" w:eastAsia="Times New Roman" w:hAnsi="Times New Roman" w:cs="Times New Roman"/>
          <w:b/>
          <w:color w:val="000000"/>
          <w:sz w:val="22"/>
          <w:szCs w:val="22"/>
        </w:rPr>
        <w:t xml:space="preserve">ACUERDO </w:t>
      </w:r>
      <w:r w:rsidR="00046C9A" w:rsidRPr="00046C9A">
        <w:rPr>
          <w:rFonts w:ascii="Times New Roman" w:eastAsia="Times New Roman" w:hAnsi="Times New Roman" w:cs="Times New Roman"/>
          <w:b/>
          <w:color w:val="000000"/>
          <w:sz w:val="22"/>
          <w:szCs w:val="22"/>
        </w:rPr>
        <w:t>No.</w:t>
      </w:r>
      <w:r w:rsidR="00046C9A">
        <w:rPr>
          <w:rFonts w:ascii="Times New Roman" w:eastAsia="Times New Roman" w:hAnsi="Times New Roman" w:cs="Times New Roman"/>
          <w:b/>
          <w:color w:val="000000"/>
          <w:sz w:val="22"/>
          <w:szCs w:val="22"/>
        </w:rPr>
        <w:t xml:space="preserve"> 028 DE</w:t>
      </w:r>
      <w:r>
        <w:rPr>
          <w:rFonts w:ascii="Times New Roman" w:eastAsia="Times New Roman" w:hAnsi="Times New Roman" w:cs="Times New Roman"/>
          <w:b/>
          <w:color w:val="000000"/>
          <w:sz w:val="22"/>
          <w:szCs w:val="22"/>
        </w:rPr>
        <w:t xml:space="preserve"> 2025</w:t>
      </w:r>
    </w:p>
    <w:p w14:paraId="6CB5F08E" w14:textId="47DAC872" w:rsidR="00A615A6" w:rsidRDefault="00A54EEF">
      <w:pPr>
        <w:pStyle w:val="Ttulo2"/>
        <w:keepNext w:val="0"/>
        <w:spacing w:before="240" w:line="360" w:lineRule="auto"/>
        <w:ind w:right="-220"/>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“POR MEDIO DEL CUAL SE INCENTIVAN Y FORTALECEN LAS DISCIPLINAS DE LAS CIENCIAS, LA TECNOLOGÍA, LA TECNOLOGÍA, LAS ARTES Y LAS MATEMÁTICAS - STEAM EN LA CIUDAD DE BOGOTÁ D.C ”</w:t>
      </w:r>
    </w:p>
    <w:p w14:paraId="1ADA6CED" w14:textId="77777777" w:rsidR="00A615A6" w:rsidRDefault="00A92D00">
      <w:pPr>
        <w:pStyle w:val="Ttulo2"/>
        <w:keepNext w:val="0"/>
        <w:spacing w:before="240" w:line="360" w:lineRule="auto"/>
        <w:ind w:right="-220"/>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EL CONCEJO DE BOGOTÁ D.C.</w:t>
      </w:r>
    </w:p>
    <w:p w14:paraId="489184F5" w14:textId="77777777" w:rsidR="00A615A6" w:rsidRDefault="00A92D00">
      <w:pPr>
        <w:pStyle w:val="Ttulo2"/>
        <w:keepNext w:val="0"/>
        <w:spacing w:before="240" w:line="360" w:lineRule="auto"/>
        <w:ind w:right="-220"/>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En ejercicio de las facultades que le confiere los numerales 1 y 9 del artículo 313 de la Constitución Política de Colombia y los numerales 1 y 7 del artículo 12 del Decreto Ley 1421 de 1993</w:t>
      </w:r>
    </w:p>
    <w:p w14:paraId="11A68213" w14:textId="77777777" w:rsidR="00A615A6" w:rsidRDefault="00A615A6">
      <w:pPr>
        <w:spacing w:line="360" w:lineRule="auto"/>
        <w:ind w:right="-220"/>
        <w:jc w:val="both"/>
        <w:rPr>
          <w:rFonts w:ascii="Times New Roman" w:eastAsia="Times New Roman" w:hAnsi="Times New Roman" w:cs="Times New Roman"/>
          <w:b/>
          <w:sz w:val="22"/>
          <w:szCs w:val="22"/>
        </w:rPr>
      </w:pPr>
    </w:p>
    <w:p w14:paraId="3BD8C8ED" w14:textId="77777777" w:rsidR="00A615A6" w:rsidRDefault="00A92D00">
      <w:pPr>
        <w:spacing w:line="360" w:lineRule="auto"/>
        <w:ind w:right="-220"/>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ACUERDA:</w:t>
      </w:r>
    </w:p>
    <w:p w14:paraId="06A10484" w14:textId="77777777" w:rsidR="00A615A6" w:rsidRDefault="00A92D00">
      <w:pPr>
        <w:spacing w:before="240" w:after="240"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ARTÍCULO 1°. OBJETO. </w:t>
      </w:r>
      <w:r>
        <w:rPr>
          <w:rFonts w:ascii="Times New Roman" w:eastAsia="Times New Roman" w:hAnsi="Times New Roman" w:cs="Times New Roman"/>
          <w:sz w:val="22"/>
          <w:szCs w:val="22"/>
        </w:rPr>
        <w:t xml:space="preserve">Incentivar y fortalecer las disciplinas de las ciencias, la tecnología, la ingeniería, las artes y las matemáticas reconocidas como “STEAM” en la ciudad de Bogotá, impulsando la innovación y el desarrollo en el Distrito Capital con enfoque diferencial para la ruralidad, las mujeres y los jóvenes. </w:t>
      </w:r>
    </w:p>
    <w:p w14:paraId="6A36FC50" w14:textId="77777777" w:rsidR="00A615A6" w:rsidRDefault="00A92D00">
      <w:pPr>
        <w:pStyle w:val="Ttulo2"/>
        <w:keepNext w:val="0"/>
        <w:spacing w:before="200" w:after="80" w:line="360" w:lineRule="auto"/>
        <w:ind w:right="-220"/>
        <w:jc w:val="both"/>
        <w:rPr>
          <w:rFonts w:ascii="Times New Roman" w:eastAsia="Times New Roman" w:hAnsi="Times New Roman" w:cs="Times New Roman"/>
          <w:color w:val="000000"/>
          <w:sz w:val="22"/>
          <w:szCs w:val="22"/>
        </w:rPr>
      </w:pPr>
      <w:bookmarkStart w:id="32" w:name="_heading=h.9pisqtkembaf" w:colFirst="0" w:colLast="0"/>
      <w:bookmarkEnd w:id="32"/>
      <w:r>
        <w:rPr>
          <w:rFonts w:ascii="Times New Roman" w:eastAsia="Times New Roman" w:hAnsi="Times New Roman" w:cs="Times New Roman"/>
          <w:b/>
          <w:color w:val="000000"/>
          <w:sz w:val="22"/>
          <w:szCs w:val="22"/>
        </w:rPr>
        <w:t xml:space="preserve">ARTÍCULO 2. INCENTIVOS. </w:t>
      </w:r>
      <w:r>
        <w:rPr>
          <w:rFonts w:ascii="Times New Roman" w:eastAsia="Times New Roman" w:hAnsi="Times New Roman" w:cs="Times New Roman"/>
          <w:color w:val="000000"/>
          <w:sz w:val="22"/>
          <w:szCs w:val="22"/>
        </w:rPr>
        <w:t xml:space="preserve">La Administración Distrital a través de sus entidades competentes se encargará de incentivar a negocios locales, emprendimientos, </w:t>
      </w:r>
      <w:proofErr w:type="spellStart"/>
      <w:r>
        <w:rPr>
          <w:rFonts w:ascii="Times New Roman" w:eastAsia="Times New Roman" w:hAnsi="Times New Roman" w:cs="Times New Roman"/>
          <w:color w:val="000000"/>
          <w:sz w:val="22"/>
          <w:szCs w:val="22"/>
        </w:rPr>
        <w:t>MIPyMEs</w:t>
      </w:r>
      <w:proofErr w:type="spellEnd"/>
      <w:r>
        <w:rPr>
          <w:rFonts w:ascii="Times New Roman" w:eastAsia="Times New Roman" w:hAnsi="Times New Roman" w:cs="Times New Roman"/>
          <w:color w:val="000000"/>
          <w:sz w:val="22"/>
          <w:szCs w:val="22"/>
        </w:rPr>
        <w:t xml:space="preserve"> y organizaciones sociales que presenten bienes o servicios relacionados con la educación para  las ciencias, la tecnología, la ingeniería, las artes y las matemáticas.</w:t>
      </w:r>
    </w:p>
    <w:p w14:paraId="5A7A8A63" w14:textId="77777777" w:rsidR="00A615A6" w:rsidRDefault="00A92D00">
      <w:pPr>
        <w:spacing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Parágrafo: </w:t>
      </w:r>
      <w:r>
        <w:rPr>
          <w:rFonts w:ascii="Times New Roman" w:eastAsia="Times New Roman" w:hAnsi="Times New Roman" w:cs="Times New Roman"/>
          <w:sz w:val="22"/>
          <w:szCs w:val="22"/>
        </w:rPr>
        <w:t xml:space="preserve">La Administración Distrital creará y otorgará el “Sello STEAM” a aquellos negocios locales, emprendimientos, </w:t>
      </w:r>
      <w:proofErr w:type="spellStart"/>
      <w:r>
        <w:rPr>
          <w:rFonts w:ascii="Times New Roman" w:eastAsia="Times New Roman" w:hAnsi="Times New Roman" w:cs="Times New Roman"/>
          <w:sz w:val="22"/>
          <w:szCs w:val="22"/>
        </w:rPr>
        <w:t>MIPyMEs</w:t>
      </w:r>
      <w:proofErr w:type="spellEnd"/>
      <w:r>
        <w:rPr>
          <w:rFonts w:ascii="Times New Roman" w:eastAsia="Times New Roman" w:hAnsi="Times New Roman" w:cs="Times New Roman"/>
          <w:sz w:val="22"/>
          <w:szCs w:val="22"/>
        </w:rPr>
        <w:t xml:space="preserve"> y organizaciones sociales que ofrezcan servicios y productos diferenciales para las disciplinas STEAM.</w:t>
      </w:r>
    </w:p>
    <w:p w14:paraId="2A1BE570"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ARTÍCULO 3°. EDUCACIÓN. </w:t>
      </w:r>
      <w:r>
        <w:rPr>
          <w:rFonts w:ascii="Times New Roman" w:eastAsia="Times New Roman" w:hAnsi="Times New Roman" w:cs="Times New Roman"/>
          <w:sz w:val="22"/>
          <w:szCs w:val="22"/>
        </w:rPr>
        <w:t xml:space="preserve">La Secretaria de Educación del Distrito implementará dentro de los </w:t>
      </w:r>
      <w:proofErr w:type="spellStart"/>
      <w:r>
        <w:rPr>
          <w:rFonts w:ascii="Times New Roman" w:eastAsia="Times New Roman" w:hAnsi="Times New Roman" w:cs="Times New Roman"/>
          <w:sz w:val="22"/>
          <w:szCs w:val="22"/>
        </w:rPr>
        <w:t>curriculum</w:t>
      </w:r>
      <w:proofErr w:type="spellEnd"/>
      <w:r>
        <w:rPr>
          <w:rFonts w:ascii="Times New Roman" w:eastAsia="Times New Roman" w:hAnsi="Times New Roman" w:cs="Times New Roman"/>
          <w:sz w:val="22"/>
          <w:szCs w:val="22"/>
        </w:rPr>
        <w:t xml:space="preserve"> educativos de las Instituciones Oficiales del Distrito e incentivará a las Instituciones Privadas la inclusión de la educación en las disciplinas de las ciencias, la tecnología, la ingeniería, las artes y las matemáticas reconocidas como “STEAM”, asimismo promoverá los intercambios </w:t>
      </w:r>
      <w:proofErr w:type="spellStart"/>
      <w:r>
        <w:rPr>
          <w:rFonts w:ascii="Times New Roman" w:eastAsia="Times New Roman" w:hAnsi="Times New Roman" w:cs="Times New Roman"/>
          <w:sz w:val="22"/>
          <w:szCs w:val="22"/>
        </w:rPr>
        <w:t>intercolegiados</w:t>
      </w:r>
      <w:proofErr w:type="spellEnd"/>
      <w:r>
        <w:rPr>
          <w:rFonts w:ascii="Times New Roman" w:eastAsia="Times New Roman" w:hAnsi="Times New Roman" w:cs="Times New Roman"/>
          <w:sz w:val="22"/>
          <w:szCs w:val="22"/>
        </w:rPr>
        <w:t xml:space="preserve"> en esta materia.</w:t>
      </w:r>
    </w:p>
    <w:p w14:paraId="0B3DBBA1"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ARTÍCULO 4°. PLATAFORMA INTERACTIVA. </w:t>
      </w:r>
      <w:r>
        <w:rPr>
          <w:rFonts w:ascii="Times New Roman" w:eastAsia="Times New Roman" w:hAnsi="Times New Roman" w:cs="Times New Roman"/>
          <w:sz w:val="22"/>
          <w:szCs w:val="22"/>
        </w:rPr>
        <w:t xml:space="preserve">La Secretaria de Educación del Distrito y la Agencia para la Educación Superior, la Ciencia y la Tecnología ATENEA desarrollarán una plataforma que contenga herramientas didácticas e insumos pedagógicos para las disciplinas de las ciencias, la tecnología, la ingeniería, las artes  y las matemáticas reconocidas como “STEAM”,  esta plataforma tendrá contenido innovador, con diseño universal, de fácil acceso, y contar con un lenguaje claro.             </w:t>
      </w:r>
    </w:p>
    <w:p w14:paraId="5A53BCF8"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ARTÍCULO 5°. PROMOCIÓN DE EVENTOS STEAM EN ESPACIO PÚBLICO.</w:t>
      </w:r>
      <w:r>
        <w:rPr>
          <w:rFonts w:ascii="Times New Roman" w:eastAsia="Times New Roman" w:hAnsi="Times New Roman" w:cs="Times New Roman"/>
          <w:sz w:val="22"/>
          <w:szCs w:val="22"/>
        </w:rPr>
        <w:t xml:space="preserve"> La Administración Distrital, en cabeza de la Secretaría de Educación del Distrito y la Agencia para la Educación Superior, la Ciencia y la Tecnología ATENEA, en coordinación con las Alcaldías Locales, propenderá por realizar eventos, ferias, concursos y exposiciones de arte digital en el espacio público de la ciudad, promoviendo la cercanía de la ciudadanía a las disciplinas de las ciencias, la tecnología, la ingeniería, las artes y las matemáticas reconocidas como “STEAM”, así mismo será una oportunidad para ofrecer sus servicios en esta materia.         </w:t>
      </w:r>
    </w:p>
    <w:p w14:paraId="598559BF"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ARTÍCULO 6°. ALIANZAS ESTRATÉGICAS. </w:t>
      </w:r>
      <w:r>
        <w:rPr>
          <w:rFonts w:ascii="Times New Roman" w:eastAsia="Times New Roman" w:hAnsi="Times New Roman" w:cs="Times New Roman"/>
          <w:sz w:val="22"/>
          <w:szCs w:val="22"/>
        </w:rPr>
        <w:t xml:space="preserve">La Administración Distrital, en cabeza de la Secretaría de Educación del Distrito y la Agencia para la Educación Superior, la Ciencia y la Tecnología ATENEA, la Secretaría de Integración Social, la Secretaría de Cultura, Recreación y Deporte y cualquier entidad que considere competente, promoverá alianzas estratégicas con universidades, centros de investigación y tecnología, Casas de Juventud, Casas de la Cultura u otros, para el desarrollo de estrategias que impulsen las ciencias, la tecnología, la ingeniería, las artes y las matemáticas conocidas como “STEAM”. </w:t>
      </w:r>
    </w:p>
    <w:p w14:paraId="6BD0E48D"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ARTÍCULO 7°. ENFOQUE. </w:t>
      </w:r>
      <w:r>
        <w:rPr>
          <w:rFonts w:ascii="Times New Roman" w:eastAsia="Times New Roman" w:hAnsi="Times New Roman" w:cs="Times New Roman"/>
          <w:sz w:val="22"/>
          <w:szCs w:val="22"/>
        </w:rPr>
        <w:t>Las acciones implementadas para incentivar y fortalecer las disciplinas de las ciencias, la tecnología, la ingeniería, las artes y las matemáticas, vincularán un enfoque de género que propenda por el cierre de brechas de las mujeres al STEAM y por un enfoque rural que promueva la innovación agrícola en la ciudad de Bogotá.</w:t>
      </w:r>
    </w:p>
    <w:p w14:paraId="47DCF234" w14:textId="77777777" w:rsidR="00A615A6" w:rsidRDefault="00A92D00">
      <w:pPr>
        <w:spacing w:before="20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b/>
          <w:sz w:val="22"/>
          <w:szCs w:val="22"/>
        </w:rPr>
        <w:t>ARTÍCULO 8°. REGLAMENTACIÓN E IMPLEMENTACIÓN.</w:t>
      </w:r>
      <w:r>
        <w:rPr>
          <w:rFonts w:ascii="Times New Roman" w:eastAsia="Times New Roman" w:hAnsi="Times New Roman" w:cs="Times New Roman"/>
          <w:sz w:val="22"/>
          <w:szCs w:val="22"/>
        </w:rPr>
        <w:t xml:space="preserve"> La Administración Distrital contará con un plazo máximo de seis (6) meses contados a partir de la  entrada en vigencia del presente Acuerdo para su reglamentación y el inicio de su implementación.</w:t>
      </w:r>
    </w:p>
    <w:p w14:paraId="02448DD6" w14:textId="77777777" w:rsidR="00A615A6" w:rsidRDefault="00A92D00">
      <w:pPr>
        <w:spacing w:before="240" w:after="240" w:line="360" w:lineRule="auto"/>
        <w:ind w:right="-220"/>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ARTÍCULO 9º. ARTICULACIÓN</w:t>
      </w:r>
      <w:r>
        <w:rPr>
          <w:rFonts w:ascii="Times New Roman" w:eastAsia="Times New Roman" w:hAnsi="Times New Roman" w:cs="Times New Roman"/>
          <w:sz w:val="22"/>
          <w:szCs w:val="22"/>
        </w:rPr>
        <w:t>. La Administración Distrital llevará a cabo las gestiones necesarias para articular las disposiciones del presente Acuerdo con los registros, las políticas públicas y demás acciones que implementen entidades públicas del orden distrital y nacional frente a las ciencias, la tecnología, la ingeniería, las artes y las matemáticas reconocidas como “STEAM”, procurando así evitar la duplicidad de esfuerzos y propiciando la coordinación en todos los niveles del Estado.</w:t>
      </w:r>
    </w:p>
    <w:p w14:paraId="1B01EF29" w14:textId="77777777" w:rsidR="00A615A6" w:rsidRDefault="00A92D00">
      <w:pPr>
        <w:spacing w:before="240" w:after="240" w:line="360" w:lineRule="auto"/>
        <w:ind w:right="-220"/>
        <w:jc w:val="both"/>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ARTÍCULO 10º. INFORMES. </w:t>
      </w:r>
      <w:r>
        <w:rPr>
          <w:rFonts w:ascii="Times New Roman" w:eastAsia="Times New Roman" w:hAnsi="Times New Roman" w:cs="Times New Roman"/>
          <w:sz w:val="22"/>
          <w:szCs w:val="22"/>
        </w:rPr>
        <w:t>La Administración Distrital, en cabeza de las entidades responsables, en el marco del día nacional de la educación STEAM, el 8 de noviembre de cada año, entregará un informe al Concejo de Bogotá D.C. sobre el avance y los resultados en la implementación del presente Acuerdo.</w:t>
      </w:r>
      <w:r>
        <w:rPr>
          <w:rFonts w:ascii="Times New Roman" w:eastAsia="Times New Roman" w:hAnsi="Times New Roman" w:cs="Times New Roman"/>
          <w:sz w:val="22"/>
          <w:szCs w:val="22"/>
        </w:rPr>
        <w:br/>
      </w:r>
      <w:r>
        <w:rPr>
          <w:rFonts w:ascii="Times New Roman" w:eastAsia="Times New Roman" w:hAnsi="Times New Roman" w:cs="Times New Roman"/>
          <w:b/>
          <w:sz w:val="22"/>
          <w:szCs w:val="22"/>
        </w:rPr>
        <w:t>ARTÍCULO 11°. VIGENCIA</w:t>
      </w:r>
      <w:r>
        <w:rPr>
          <w:rFonts w:ascii="Times New Roman" w:eastAsia="Times New Roman" w:hAnsi="Times New Roman" w:cs="Times New Roman"/>
          <w:sz w:val="22"/>
          <w:szCs w:val="22"/>
        </w:rPr>
        <w:t>. El presente Acuerdo rige a partir de su publicación y deroga las normas que le sean contrarias.</w:t>
      </w:r>
    </w:p>
    <w:p w14:paraId="3440B603" w14:textId="77777777" w:rsidR="00A615A6" w:rsidRDefault="00A92D00">
      <w:pPr>
        <w:spacing w:line="360" w:lineRule="auto"/>
        <w:ind w:right="-220"/>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PUBLÍQUESE Y CÚMPLASE</w:t>
      </w:r>
    </w:p>
    <w:p w14:paraId="319371D3" w14:textId="77777777" w:rsidR="00A615A6" w:rsidRDefault="00A615A6">
      <w:pPr>
        <w:pBdr>
          <w:top w:val="nil"/>
          <w:left w:val="nil"/>
          <w:bottom w:val="nil"/>
          <w:right w:val="nil"/>
          <w:between w:val="nil"/>
        </w:pBdr>
        <w:spacing w:line="360" w:lineRule="auto"/>
        <w:ind w:left="720" w:right="-220"/>
        <w:jc w:val="both"/>
        <w:rPr>
          <w:rFonts w:ascii="Times New Roman" w:eastAsia="Times New Roman" w:hAnsi="Times New Roman" w:cs="Times New Roman"/>
        </w:rPr>
      </w:pPr>
    </w:p>
    <w:p w14:paraId="0082723D" w14:textId="77777777" w:rsidR="00A615A6" w:rsidRDefault="00A615A6">
      <w:pPr>
        <w:pBdr>
          <w:top w:val="nil"/>
          <w:left w:val="nil"/>
          <w:bottom w:val="nil"/>
          <w:right w:val="nil"/>
          <w:between w:val="nil"/>
        </w:pBdr>
        <w:ind w:left="720" w:right="-220"/>
        <w:rPr>
          <w:rFonts w:ascii="Times New Roman" w:eastAsia="Times New Roman" w:hAnsi="Times New Roman" w:cs="Times New Roman"/>
          <w:b/>
        </w:rPr>
      </w:pPr>
    </w:p>
    <w:p w14:paraId="276545AF" w14:textId="77777777" w:rsidR="00A615A6" w:rsidRDefault="00A615A6">
      <w:pPr>
        <w:pBdr>
          <w:top w:val="nil"/>
          <w:left w:val="nil"/>
          <w:bottom w:val="nil"/>
          <w:right w:val="nil"/>
          <w:between w:val="nil"/>
        </w:pBdr>
        <w:ind w:right="-220"/>
        <w:rPr>
          <w:rFonts w:ascii="Times New Roman" w:eastAsia="Times New Roman" w:hAnsi="Times New Roman" w:cs="Times New Roman"/>
          <w:b/>
        </w:rPr>
      </w:pPr>
    </w:p>
    <w:p w14:paraId="732F14E7" w14:textId="77777777" w:rsidR="00A615A6" w:rsidRDefault="00A615A6">
      <w:pPr>
        <w:spacing w:after="160" w:line="360" w:lineRule="auto"/>
        <w:ind w:right="-220"/>
        <w:jc w:val="both"/>
        <w:rPr>
          <w:rFonts w:ascii="Times New Roman" w:eastAsia="Times New Roman" w:hAnsi="Times New Roman" w:cs="Times New Roman"/>
          <w:b/>
        </w:rPr>
      </w:pPr>
    </w:p>
    <w:p w14:paraId="7041CE73" w14:textId="77777777" w:rsidR="00A615A6" w:rsidRDefault="00A615A6">
      <w:pPr>
        <w:spacing w:after="160" w:line="360" w:lineRule="auto"/>
        <w:ind w:right="-220"/>
        <w:jc w:val="both"/>
        <w:rPr>
          <w:rFonts w:ascii="Times New Roman" w:eastAsia="Times New Roman" w:hAnsi="Times New Roman" w:cs="Times New Roman"/>
          <w:b/>
        </w:rPr>
      </w:pPr>
    </w:p>
    <w:p w14:paraId="279A02FF" w14:textId="77777777" w:rsidR="00A615A6" w:rsidRDefault="00A615A6">
      <w:pPr>
        <w:spacing w:after="160" w:line="360" w:lineRule="auto"/>
        <w:jc w:val="both"/>
        <w:rPr>
          <w:rFonts w:ascii="Times New Roman" w:eastAsia="Times New Roman" w:hAnsi="Times New Roman" w:cs="Times New Roman"/>
          <w:b/>
        </w:rPr>
      </w:pPr>
    </w:p>
    <w:sectPr w:rsidR="00A615A6" w:rsidSect="00A54EEF">
      <w:headerReference w:type="default" r:id="rId24"/>
      <w:pgSz w:w="12240" w:h="15840"/>
      <w:pgMar w:top="1701" w:right="1418" w:bottom="1418" w:left="1701" w:header="510"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31C3AB" w14:textId="77777777" w:rsidR="00A92D00" w:rsidRDefault="00A92D00">
      <w:r>
        <w:separator/>
      </w:r>
    </w:p>
  </w:endnote>
  <w:endnote w:type="continuationSeparator" w:id="0">
    <w:p w14:paraId="082A9388" w14:textId="77777777" w:rsidR="00A92D00" w:rsidRDefault="00A92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D8A1EC" w14:textId="77777777" w:rsidR="00A92D00" w:rsidRDefault="00A92D00">
      <w:r>
        <w:separator/>
      </w:r>
    </w:p>
  </w:footnote>
  <w:footnote w:type="continuationSeparator" w:id="0">
    <w:p w14:paraId="0912DEA5" w14:textId="77777777" w:rsidR="00A92D00" w:rsidRDefault="00A92D00">
      <w:r>
        <w:continuationSeparator/>
      </w:r>
    </w:p>
  </w:footnote>
  <w:footnote w:id="1">
    <w:p w14:paraId="1DE10EED"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Red Educa. (2023). </w:t>
      </w:r>
      <w:r>
        <w:rPr>
          <w:rFonts w:ascii="Times New Roman" w:eastAsia="Times New Roman" w:hAnsi="Times New Roman" w:cs="Times New Roman"/>
          <w:i/>
          <w:sz w:val="18"/>
          <w:szCs w:val="18"/>
        </w:rPr>
        <w:t>¿Qué es la educación STEAM? El enfoque educativo del siglo XXI</w:t>
      </w:r>
      <w:r>
        <w:rPr>
          <w:rFonts w:ascii="Times New Roman" w:eastAsia="Times New Roman" w:hAnsi="Times New Roman" w:cs="Times New Roman"/>
          <w:sz w:val="18"/>
          <w:szCs w:val="18"/>
        </w:rPr>
        <w:t>. https://www.rededuca.net/blog/educacion-y-docencia/educacion-steam</w:t>
      </w:r>
    </w:p>
  </w:footnote>
  <w:footnote w:id="2">
    <w:p w14:paraId="5E0669BF" w14:textId="77777777" w:rsidR="00A615A6" w:rsidRDefault="00A92D00">
      <w:pPr>
        <w:rPr>
          <w:rFonts w:ascii="Times New Roman" w:eastAsia="Times New Roman" w:hAnsi="Times New Roman" w:cs="Times New Roman"/>
          <w:sz w:val="18"/>
          <w:szCs w:val="18"/>
        </w:rPr>
      </w:pPr>
      <w:r>
        <w:rPr>
          <w:vertAlign w:val="superscript"/>
        </w:rPr>
        <w:footnoteRef/>
      </w:r>
      <w:r>
        <w:rPr>
          <w:sz w:val="20"/>
          <w:szCs w:val="20"/>
        </w:rPr>
        <w:t xml:space="preserve"> </w:t>
      </w:r>
      <w:proofErr w:type="spellStart"/>
      <w:r>
        <w:rPr>
          <w:rFonts w:ascii="Times New Roman" w:eastAsia="Times New Roman" w:hAnsi="Times New Roman" w:cs="Times New Roman"/>
          <w:sz w:val="18"/>
          <w:szCs w:val="18"/>
        </w:rPr>
        <w:t>Idem</w:t>
      </w:r>
      <w:proofErr w:type="spellEnd"/>
      <w:r>
        <w:rPr>
          <w:rFonts w:ascii="Times New Roman" w:eastAsia="Times New Roman" w:hAnsi="Times New Roman" w:cs="Times New Roman"/>
          <w:sz w:val="18"/>
          <w:szCs w:val="18"/>
        </w:rPr>
        <w:t>.</w:t>
      </w:r>
    </w:p>
  </w:footnote>
  <w:footnote w:id="3">
    <w:p w14:paraId="3713A173"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Innovación y Desarrollo Docente. (2024). </w:t>
      </w:r>
      <w:r>
        <w:rPr>
          <w:rFonts w:ascii="Times New Roman" w:eastAsia="Times New Roman" w:hAnsi="Times New Roman" w:cs="Times New Roman"/>
          <w:i/>
          <w:sz w:val="18"/>
          <w:szCs w:val="18"/>
        </w:rPr>
        <w:t>ESTRATEGIAS EFECTIVAS PARA LA EDUCACIÓN STEAM</w:t>
      </w:r>
      <w:r>
        <w:rPr>
          <w:rFonts w:ascii="Times New Roman" w:eastAsia="Times New Roman" w:hAnsi="Times New Roman" w:cs="Times New Roman"/>
          <w:sz w:val="18"/>
          <w:szCs w:val="18"/>
        </w:rPr>
        <w:t xml:space="preserve">. </w:t>
      </w:r>
      <w:hyperlink r:id="rId1">
        <w:r>
          <w:rPr>
            <w:rFonts w:ascii="Times New Roman" w:eastAsia="Times New Roman" w:hAnsi="Times New Roman" w:cs="Times New Roman"/>
            <w:color w:val="1155CC"/>
            <w:sz w:val="18"/>
            <w:szCs w:val="18"/>
            <w:u w:val="single"/>
          </w:rPr>
          <w:t>https://iddocente.com/estrategias-efectivas-para-educacion-steam/</w:t>
        </w:r>
      </w:hyperlink>
      <w:r>
        <w:rPr>
          <w:rFonts w:ascii="Times New Roman" w:eastAsia="Times New Roman" w:hAnsi="Times New Roman" w:cs="Times New Roman"/>
          <w:sz w:val="18"/>
          <w:szCs w:val="18"/>
        </w:rPr>
        <w:t xml:space="preserve"> </w:t>
      </w:r>
    </w:p>
  </w:footnote>
  <w:footnote w:id="4">
    <w:p w14:paraId="0725832F"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r>
        <w:rPr>
          <w:rFonts w:ascii="Times New Roman" w:eastAsia="Times New Roman" w:hAnsi="Times New Roman" w:cs="Times New Roman"/>
          <w:color w:val="222222"/>
          <w:sz w:val="18"/>
          <w:szCs w:val="18"/>
          <w:highlight w:val="white"/>
        </w:rPr>
        <w:t xml:space="preserve">Aguirre, J. P. S., Vaca, V. D. C. C., &amp; Vaca, M. C. (2019). Educación </w:t>
      </w:r>
      <w:proofErr w:type="spellStart"/>
      <w:r>
        <w:rPr>
          <w:rFonts w:ascii="Times New Roman" w:eastAsia="Times New Roman" w:hAnsi="Times New Roman" w:cs="Times New Roman"/>
          <w:color w:val="222222"/>
          <w:sz w:val="18"/>
          <w:szCs w:val="18"/>
          <w:highlight w:val="white"/>
        </w:rPr>
        <w:t>Steam</w:t>
      </w:r>
      <w:proofErr w:type="spellEnd"/>
      <w:r>
        <w:rPr>
          <w:rFonts w:ascii="Times New Roman" w:eastAsia="Times New Roman" w:hAnsi="Times New Roman" w:cs="Times New Roman"/>
          <w:color w:val="222222"/>
          <w:sz w:val="18"/>
          <w:szCs w:val="18"/>
          <w:highlight w:val="white"/>
        </w:rPr>
        <w:t xml:space="preserve">: entrada a la sociedad del conocimiento. </w:t>
      </w:r>
      <w:r>
        <w:rPr>
          <w:rFonts w:ascii="Times New Roman" w:eastAsia="Times New Roman" w:hAnsi="Times New Roman" w:cs="Times New Roman"/>
          <w:i/>
          <w:color w:val="222222"/>
          <w:sz w:val="18"/>
          <w:szCs w:val="18"/>
          <w:highlight w:val="white"/>
        </w:rPr>
        <w:t>Ciencia Digital</w:t>
      </w:r>
      <w:r>
        <w:rPr>
          <w:rFonts w:ascii="Times New Roman" w:eastAsia="Times New Roman" w:hAnsi="Times New Roman" w:cs="Times New Roman"/>
          <w:color w:val="222222"/>
          <w:sz w:val="18"/>
          <w:szCs w:val="18"/>
          <w:highlight w:val="white"/>
        </w:rPr>
        <w:t xml:space="preserve">, </w:t>
      </w:r>
      <w:r>
        <w:rPr>
          <w:rFonts w:ascii="Times New Roman" w:eastAsia="Times New Roman" w:hAnsi="Times New Roman" w:cs="Times New Roman"/>
          <w:i/>
          <w:color w:val="222222"/>
          <w:sz w:val="18"/>
          <w:szCs w:val="18"/>
          <w:highlight w:val="white"/>
        </w:rPr>
        <w:t>3</w:t>
      </w:r>
      <w:r>
        <w:rPr>
          <w:rFonts w:ascii="Times New Roman" w:eastAsia="Times New Roman" w:hAnsi="Times New Roman" w:cs="Times New Roman"/>
          <w:color w:val="222222"/>
          <w:sz w:val="18"/>
          <w:szCs w:val="18"/>
          <w:highlight w:val="white"/>
        </w:rPr>
        <w:t>(3.4.), 212-227.</w:t>
      </w:r>
    </w:p>
  </w:footnote>
  <w:footnote w:id="5">
    <w:p w14:paraId="452663B6"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Toma, R. B., &amp; García-Carmona, A. (2021). «De STEM nos gusta todo menos STEM». Análisis crítico de una tendencia educativa de moda. Enseñanza de las Ciencias.</w:t>
      </w:r>
      <w:hyperlink r:id="rId2">
        <w:r>
          <w:rPr>
            <w:rFonts w:ascii="Times New Roman" w:eastAsia="Times New Roman" w:hAnsi="Times New Roman" w:cs="Times New Roman"/>
            <w:color w:val="1155CC"/>
            <w:sz w:val="18"/>
            <w:szCs w:val="18"/>
            <w:u w:val="single"/>
          </w:rPr>
          <w:t>https://doi.org/10.5565/rev/ensciencias.3093</w:t>
        </w:r>
      </w:hyperlink>
      <w:r>
        <w:rPr>
          <w:rFonts w:ascii="Times New Roman" w:eastAsia="Times New Roman" w:hAnsi="Times New Roman" w:cs="Times New Roman"/>
          <w:sz w:val="18"/>
          <w:szCs w:val="18"/>
        </w:rPr>
        <w:t xml:space="preserve"> </w:t>
      </w:r>
    </w:p>
  </w:footnote>
  <w:footnote w:id="6">
    <w:p w14:paraId="6CCC1B73"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Observatorio de Innovación Educativa del </w:t>
      </w:r>
      <w:proofErr w:type="spellStart"/>
      <w:r>
        <w:rPr>
          <w:rFonts w:ascii="Times New Roman" w:eastAsia="Times New Roman" w:hAnsi="Times New Roman" w:cs="Times New Roman"/>
          <w:sz w:val="18"/>
          <w:szCs w:val="18"/>
        </w:rPr>
        <w:t>Tec</w:t>
      </w:r>
      <w:proofErr w:type="spellEnd"/>
      <w:r>
        <w:rPr>
          <w:rFonts w:ascii="Times New Roman" w:eastAsia="Times New Roman" w:hAnsi="Times New Roman" w:cs="Times New Roman"/>
          <w:sz w:val="18"/>
          <w:szCs w:val="18"/>
        </w:rPr>
        <w:t xml:space="preserve"> de Monterrey. (s.f.). </w:t>
      </w:r>
      <w:r>
        <w:rPr>
          <w:rFonts w:ascii="Times New Roman" w:eastAsia="Times New Roman" w:hAnsi="Times New Roman" w:cs="Times New Roman"/>
          <w:i/>
          <w:sz w:val="18"/>
          <w:szCs w:val="18"/>
        </w:rPr>
        <w:t>¿Qué es la educación STEM y cómo sacarle provecho?</w:t>
      </w:r>
      <w:r>
        <w:rPr>
          <w:rFonts w:ascii="Times New Roman" w:eastAsia="Times New Roman" w:hAnsi="Times New Roman" w:cs="Times New Roman"/>
          <w:sz w:val="18"/>
          <w:szCs w:val="18"/>
        </w:rPr>
        <w:t xml:space="preserve"> Recuperado de https://observatorio.tec.mx/edu-news/educacion-stem-que-es-y-como-sacarle-provecho</w:t>
      </w:r>
    </w:p>
  </w:footnote>
  <w:footnote w:id="7">
    <w:p w14:paraId="6D45FEEA"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XSTEM LA. (s.f.). ¿Por qué invertir en educación STEM? Recuperado de https://xstemla.com/por-que-invertir-en-educacion-stem</w:t>
      </w:r>
    </w:p>
  </w:footnote>
  <w:footnote w:id="8">
    <w:p w14:paraId="315145D4"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V </w:t>
      </w:r>
      <w:proofErr w:type="spellStart"/>
      <w:r>
        <w:rPr>
          <w:rFonts w:ascii="Times New Roman" w:eastAsia="Times New Roman" w:hAnsi="Times New Roman" w:cs="Times New Roman"/>
          <w:sz w:val="18"/>
          <w:szCs w:val="18"/>
        </w:rPr>
        <w:t>Gonzalez</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Infobae</w:t>
      </w:r>
      <w:proofErr w:type="spellEnd"/>
      <w:r>
        <w:rPr>
          <w:rFonts w:ascii="Times New Roman" w:eastAsia="Times New Roman" w:hAnsi="Times New Roman" w:cs="Times New Roman"/>
          <w:sz w:val="18"/>
          <w:szCs w:val="18"/>
        </w:rPr>
        <w:t xml:space="preserve">. (2023, diciembre 14). El enfoque de educación STEAM ya se aplica en las aulas de América Latina. Recuperado de </w:t>
      </w:r>
      <w:hyperlink r:id="rId3">
        <w:r>
          <w:rPr>
            <w:rFonts w:ascii="Times New Roman" w:eastAsia="Times New Roman" w:hAnsi="Times New Roman" w:cs="Times New Roman"/>
            <w:sz w:val="18"/>
            <w:szCs w:val="18"/>
          </w:rPr>
          <w:t>https://www.infobae.com/educacion/2023/12/14/el-enfoque-de-educacion-steam-ya-se-aplica-en-las-aulas-de-america-latina</w:t>
        </w:r>
      </w:hyperlink>
      <w:r>
        <w:rPr>
          <w:rFonts w:ascii="Times New Roman" w:eastAsia="Times New Roman" w:hAnsi="Times New Roman" w:cs="Times New Roman"/>
          <w:sz w:val="18"/>
          <w:szCs w:val="18"/>
        </w:rPr>
        <w:t xml:space="preserve"> </w:t>
      </w:r>
    </w:p>
  </w:footnote>
  <w:footnote w:id="9">
    <w:p w14:paraId="15F0A25F" w14:textId="77777777" w:rsidR="00A615A6" w:rsidRDefault="00A92D00">
      <w:pPr>
        <w:pBdr>
          <w:top w:val="nil"/>
          <w:left w:val="nil"/>
          <w:bottom w:val="nil"/>
          <w:right w:val="nil"/>
          <w:between w:val="nil"/>
        </w:pBd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Manpower</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Group</w:t>
      </w:r>
      <w:proofErr w:type="spellEnd"/>
      <w:r>
        <w:rPr>
          <w:rFonts w:ascii="Times New Roman" w:eastAsia="Times New Roman" w:hAnsi="Times New Roman" w:cs="Times New Roman"/>
          <w:sz w:val="18"/>
          <w:szCs w:val="18"/>
        </w:rPr>
        <w:t xml:space="preserve">. (2020). </w:t>
      </w:r>
      <w:proofErr w:type="spellStart"/>
      <w:r>
        <w:rPr>
          <w:rFonts w:ascii="Times New Roman" w:eastAsia="Times New Roman" w:hAnsi="Times New Roman" w:cs="Times New Roman"/>
          <w:sz w:val="18"/>
          <w:szCs w:val="18"/>
        </w:rPr>
        <w:t>Closing</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Skills</w:t>
      </w:r>
      <w:proofErr w:type="spellEnd"/>
      <w:r>
        <w:rPr>
          <w:rFonts w:ascii="Times New Roman" w:eastAsia="Times New Roman" w:hAnsi="Times New Roman" w:cs="Times New Roman"/>
          <w:sz w:val="18"/>
          <w:szCs w:val="18"/>
        </w:rPr>
        <w:t xml:space="preserve"> Gap </w:t>
      </w:r>
    </w:p>
  </w:footnote>
  <w:footnote w:id="10">
    <w:p w14:paraId="4B91CD82" w14:textId="77777777" w:rsidR="00A615A6" w:rsidRDefault="00A92D00">
      <w:pPr>
        <w:pBdr>
          <w:top w:val="nil"/>
          <w:left w:val="nil"/>
          <w:bottom w:val="nil"/>
          <w:right w:val="nil"/>
          <w:between w:val="nil"/>
        </w:pBd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Movimiento STEAM (2020). Informe de </w:t>
      </w:r>
      <w:proofErr w:type="spellStart"/>
      <w:r>
        <w:rPr>
          <w:rFonts w:ascii="Times New Roman" w:eastAsia="Times New Roman" w:hAnsi="Times New Roman" w:cs="Times New Roman"/>
          <w:sz w:val="18"/>
          <w:szCs w:val="18"/>
        </w:rPr>
        <w:t>Gestion</w:t>
      </w:r>
      <w:proofErr w:type="spellEnd"/>
      <w:r>
        <w:rPr>
          <w:rFonts w:ascii="Times New Roman" w:eastAsia="Times New Roman" w:hAnsi="Times New Roman" w:cs="Times New Roman"/>
          <w:sz w:val="18"/>
          <w:szCs w:val="18"/>
        </w:rPr>
        <w:t xml:space="preserve"> de 2020. </w:t>
      </w:r>
      <w:proofErr w:type="spellStart"/>
      <w:r>
        <w:rPr>
          <w:rFonts w:ascii="Times New Roman" w:eastAsia="Times New Roman" w:hAnsi="Times New Roman" w:cs="Times New Roman"/>
          <w:sz w:val="18"/>
          <w:szCs w:val="18"/>
        </w:rPr>
        <w:t>Analisis</w:t>
      </w:r>
      <w:proofErr w:type="spellEnd"/>
      <w:r>
        <w:rPr>
          <w:rFonts w:ascii="Times New Roman" w:eastAsia="Times New Roman" w:hAnsi="Times New Roman" w:cs="Times New Roman"/>
          <w:sz w:val="18"/>
          <w:szCs w:val="18"/>
        </w:rPr>
        <w:t xml:space="preserve"> en la Ciudad de </w:t>
      </w:r>
      <w:proofErr w:type="spellStart"/>
      <w:r>
        <w:rPr>
          <w:rFonts w:ascii="Times New Roman" w:eastAsia="Times New Roman" w:hAnsi="Times New Roman" w:cs="Times New Roman"/>
          <w:sz w:val="18"/>
          <w:szCs w:val="18"/>
        </w:rPr>
        <w:t>Mexico</w:t>
      </w:r>
      <w:proofErr w:type="spellEnd"/>
      <w:r>
        <w:rPr>
          <w:rFonts w:ascii="Times New Roman" w:eastAsia="Times New Roman" w:hAnsi="Times New Roman" w:cs="Times New Roman"/>
          <w:sz w:val="18"/>
          <w:szCs w:val="18"/>
        </w:rPr>
        <w:t xml:space="preserve">. Recuperado de. </w:t>
      </w:r>
      <w:hyperlink r:id="rId4">
        <w:r>
          <w:rPr>
            <w:rFonts w:ascii="Times New Roman" w:eastAsia="Times New Roman" w:hAnsi="Times New Roman" w:cs="Times New Roman"/>
            <w:sz w:val="18"/>
            <w:szCs w:val="18"/>
          </w:rPr>
          <w:t>https://www.movimientostem.org/wp-content/uploads/2021/03/Informe-anual-2020_Movimiento-STEAM.pdf</w:t>
        </w:r>
      </w:hyperlink>
      <w:r>
        <w:rPr>
          <w:rFonts w:ascii="Times New Roman" w:eastAsia="Times New Roman" w:hAnsi="Times New Roman" w:cs="Times New Roman"/>
          <w:sz w:val="18"/>
          <w:szCs w:val="18"/>
        </w:rPr>
        <w:t xml:space="preserve"> </w:t>
      </w:r>
    </w:p>
  </w:footnote>
  <w:footnote w:id="11">
    <w:p w14:paraId="3385DA81"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18"/>
          <w:szCs w:val="18"/>
        </w:rPr>
        <w:t xml:space="preserve"> </w:t>
      </w:r>
      <w:r>
        <w:rPr>
          <w:rFonts w:ascii="Times New Roman" w:eastAsia="Times New Roman" w:hAnsi="Times New Roman" w:cs="Times New Roman"/>
          <w:sz w:val="18"/>
          <w:szCs w:val="18"/>
        </w:rPr>
        <w:t xml:space="preserve">Casado, R. &amp; Checa-Romero, M. (2020). Robótica y Proyectos STEAM: Desarrollo de la creatividad en las aulas de Educación Primaria Pixel-Bit. </w:t>
      </w:r>
      <w:r>
        <w:rPr>
          <w:rFonts w:ascii="Times New Roman" w:eastAsia="Times New Roman" w:hAnsi="Times New Roman" w:cs="Times New Roman"/>
          <w:i/>
          <w:sz w:val="18"/>
          <w:szCs w:val="18"/>
        </w:rPr>
        <w:t>Revista de Medios y Educación</w:t>
      </w:r>
      <w:r>
        <w:rPr>
          <w:rFonts w:ascii="Times New Roman" w:eastAsia="Times New Roman" w:hAnsi="Times New Roman" w:cs="Times New Roman"/>
          <w:sz w:val="18"/>
          <w:szCs w:val="18"/>
        </w:rPr>
        <w:t xml:space="preserve">, 58, 51-69. </w:t>
      </w:r>
      <w:hyperlink r:id="rId5">
        <w:r>
          <w:rPr>
            <w:rFonts w:ascii="Times New Roman" w:eastAsia="Times New Roman" w:hAnsi="Times New Roman" w:cs="Times New Roman"/>
            <w:color w:val="0563C1"/>
            <w:sz w:val="18"/>
            <w:szCs w:val="18"/>
            <w:u w:val="single"/>
          </w:rPr>
          <w:t>https://doi.org/10.12795/pixelbit.73672</w:t>
        </w:r>
      </w:hyperlink>
    </w:p>
  </w:footnote>
  <w:footnote w:id="12">
    <w:p w14:paraId="311C5E61"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ONU Mujeres. (2022, 11 de febrero). </w:t>
      </w:r>
      <w:r>
        <w:rPr>
          <w:rFonts w:ascii="Times New Roman" w:eastAsia="Times New Roman" w:hAnsi="Times New Roman" w:cs="Times New Roman"/>
          <w:i/>
          <w:sz w:val="18"/>
          <w:szCs w:val="18"/>
        </w:rPr>
        <w:t>Necesitamos más mujeres en carreras STEM</w:t>
      </w:r>
      <w:r>
        <w:rPr>
          <w:rFonts w:ascii="Times New Roman" w:eastAsia="Times New Roman" w:hAnsi="Times New Roman" w:cs="Times New Roman"/>
          <w:sz w:val="18"/>
          <w:szCs w:val="18"/>
        </w:rPr>
        <w:t>. Recuperado de</w:t>
      </w:r>
      <w:hyperlink r:id="rId6">
        <w:r>
          <w:rPr>
            <w:rFonts w:ascii="Times New Roman" w:eastAsia="Times New Roman" w:hAnsi="Times New Roman" w:cs="Times New Roman"/>
            <w:sz w:val="18"/>
            <w:szCs w:val="18"/>
          </w:rPr>
          <w:t xml:space="preserve"> </w:t>
        </w:r>
      </w:hyperlink>
      <w:hyperlink r:id="rId7">
        <w:r>
          <w:rPr>
            <w:rFonts w:ascii="Times New Roman" w:eastAsia="Times New Roman" w:hAnsi="Times New Roman" w:cs="Times New Roman"/>
            <w:color w:val="1155CC"/>
            <w:sz w:val="18"/>
            <w:szCs w:val="18"/>
            <w:u w:val="single"/>
          </w:rPr>
          <w:t>https://lac.unwomen.org/es/stories/noticia/2022/02/necesitamos-mas-mujeres-en-carreras-stem</w:t>
        </w:r>
      </w:hyperlink>
      <w:r>
        <w:rPr>
          <w:rFonts w:ascii="Times New Roman" w:eastAsia="Times New Roman" w:hAnsi="Times New Roman" w:cs="Times New Roman"/>
          <w:sz w:val="18"/>
          <w:szCs w:val="18"/>
        </w:rPr>
        <w:t xml:space="preserve"> </w:t>
      </w:r>
    </w:p>
  </w:footnote>
  <w:footnote w:id="13">
    <w:p w14:paraId="285D8F13"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18"/>
          <w:szCs w:val="18"/>
        </w:rPr>
        <w:t xml:space="preserve"> </w:t>
      </w:r>
      <w:r>
        <w:rPr>
          <w:rFonts w:ascii="Times New Roman" w:eastAsia="Times New Roman" w:hAnsi="Times New Roman" w:cs="Times New Roman"/>
          <w:sz w:val="18"/>
          <w:szCs w:val="18"/>
        </w:rPr>
        <w:t>García Fuentes O., Raposo Rivas M. y Martínez Figueira M. E. (2023). El enfoque educativo STEAM: una revisión de la literatura. Revista Complutense de Educación</w:t>
      </w:r>
      <w:hyperlink r:id="rId8">
        <w:r>
          <w:rPr>
            <w:rFonts w:ascii="Times New Roman" w:eastAsia="Times New Roman" w:hAnsi="Times New Roman" w:cs="Times New Roman"/>
            <w:color w:val="1155CC"/>
            <w:sz w:val="18"/>
            <w:szCs w:val="18"/>
            <w:u w:val="single"/>
          </w:rPr>
          <w:t>https://doi.org/10.5209/rced.77261</w:t>
        </w:r>
      </w:hyperlink>
      <w:r>
        <w:rPr>
          <w:rFonts w:ascii="Times New Roman" w:eastAsia="Times New Roman" w:hAnsi="Times New Roman" w:cs="Times New Roman"/>
          <w:sz w:val="18"/>
          <w:szCs w:val="18"/>
        </w:rPr>
        <w:t xml:space="preserve"> </w:t>
      </w:r>
    </w:p>
  </w:footnote>
  <w:footnote w:id="14">
    <w:p w14:paraId="28468B98"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Latin</w:t>
      </w:r>
      <w:proofErr w:type="spellEnd"/>
      <w:r>
        <w:rPr>
          <w:rFonts w:ascii="Times New Roman" w:eastAsia="Times New Roman" w:hAnsi="Times New Roman" w:cs="Times New Roman"/>
          <w:sz w:val="18"/>
          <w:szCs w:val="18"/>
        </w:rPr>
        <w:t xml:space="preserve"> American </w:t>
      </w:r>
      <w:proofErr w:type="spellStart"/>
      <w:r>
        <w:rPr>
          <w:rFonts w:ascii="Times New Roman" w:eastAsia="Times New Roman" w:hAnsi="Times New Roman" w:cs="Times New Roman"/>
          <w:sz w:val="18"/>
          <w:szCs w:val="18"/>
        </w:rPr>
        <w:t>Journal</w:t>
      </w:r>
      <w:proofErr w:type="spellEnd"/>
      <w:r>
        <w:rPr>
          <w:rFonts w:ascii="Times New Roman" w:eastAsia="Times New Roman" w:hAnsi="Times New Roman" w:cs="Times New Roman"/>
          <w:sz w:val="18"/>
          <w:szCs w:val="18"/>
        </w:rPr>
        <w:t xml:space="preserve"> of </w:t>
      </w:r>
      <w:proofErr w:type="spellStart"/>
      <w:r>
        <w:rPr>
          <w:rFonts w:ascii="Times New Roman" w:eastAsia="Times New Roman" w:hAnsi="Times New Roman" w:cs="Times New Roman"/>
          <w:sz w:val="18"/>
          <w:szCs w:val="18"/>
        </w:rPr>
        <w:t>Science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Education</w:t>
      </w:r>
      <w:proofErr w:type="spellEnd"/>
      <w:r>
        <w:rPr>
          <w:rFonts w:ascii="Times New Roman" w:eastAsia="Times New Roman" w:hAnsi="Times New Roman" w:cs="Times New Roman"/>
          <w:sz w:val="18"/>
          <w:szCs w:val="18"/>
        </w:rPr>
        <w:t>, 2020)Educación STEM/STEAM: Modelos de implementación, estrategias didácticas y ambientes de aprendizaje que potencian las habilidades para el siglo XXI. file:///D:/Downloads/Educacion_STEM_STEAM_Modelos_de_implemen.pdf</w:t>
      </w:r>
    </w:p>
  </w:footnote>
  <w:footnote w:id="15">
    <w:p w14:paraId="356608D5"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Wahyuningsih</w:t>
      </w:r>
      <w:proofErr w:type="spellEnd"/>
      <w:r>
        <w:rPr>
          <w:rFonts w:ascii="Times New Roman" w:eastAsia="Times New Roman" w:hAnsi="Times New Roman" w:cs="Times New Roman"/>
          <w:sz w:val="18"/>
          <w:szCs w:val="18"/>
        </w:rPr>
        <w:t xml:space="preserve">, S., </w:t>
      </w:r>
      <w:proofErr w:type="spellStart"/>
      <w:r>
        <w:rPr>
          <w:rFonts w:ascii="Times New Roman" w:eastAsia="Times New Roman" w:hAnsi="Times New Roman" w:cs="Times New Roman"/>
          <w:sz w:val="18"/>
          <w:szCs w:val="18"/>
        </w:rPr>
        <w:t>Nurjanah</w:t>
      </w:r>
      <w:proofErr w:type="spellEnd"/>
      <w:r>
        <w:rPr>
          <w:rFonts w:ascii="Times New Roman" w:eastAsia="Times New Roman" w:hAnsi="Times New Roman" w:cs="Times New Roman"/>
          <w:sz w:val="18"/>
          <w:szCs w:val="18"/>
        </w:rPr>
        <w:t xml:space="preserve">, N. E., </w:t>
      </w:r>
      <w:proofErr w:type="spellStart"/>
      <w:r>
        <w:rPr>
          <w:rFonts w:ascii="Times New Roman" w:eastAsia="Times New Roman" w:hAnsi="Times New Roman" w:cs="Times New Roman"/>
          <w:sz w:val="18"/>
          <w:szCs w:val="18"/>
        </w:rPr>
        <w:t>Rasmani</w:t>
      </w:r>
      <w:proofErr w:type="spellEnd"/>
      <w:r>
        <w:rPr>
          <w:rFonts w:ascii="Times New Roman" w:eastAsia="Times New Roman" w:hAnsi="Times New Roman" w:cs="Times New Roman"/>
          <w:sz w:val="18"/>
          <w:szCs w:val="18"/>
        </w:rPr>
        <w:t xml:space="preserve">, U. E. E., </w:t>
      </w:r>
      <w:proofErr w:type="spellStart"/>
      <w:r>
        <w:rPr>
          <w:rFonts w:ascii="Times New Roman" w:eastAsia="Times New Roman" w:hAnsi="Times New Roman" w:cs="Times New Roman"/>
          <w:sz w:val="18"/>
          <w:szCs w:val="18"/>
        </w:rPr>
        <w:t>Hafidah</w:t>
      </w:r>
      <w:proofErr w:type="spellEnd"/>
      <w:r>
        <w:rPr>
          <w:rFonts w:ascii="Times New Roman" w:eastAsia="Times New Roman" w:hAnsi="Times New Roman" w:cs="Times New Roman"/>
          <w:sz w:val="18"/>
          <w:szCs w:val="18"/>
        </w:rPr>
        <w:t xml:space="preserve">, R., </w:t>
      </w:r>
      <w:proofErr w:type="spellStart"/>
      <w:r>
        <w:rPr>
          <w:rFonts w:ascii="Times New Roman" w:eastAsia="Times New Roman" w:hAnsi="Times New Roman" w:cs="Times New Roman"/>
          <w:sz w:val="18"/>
          <w:szCs w:val="18"/>
        </w:rPr>
        <w:t>Pudyaningtyas</w:t>
      </w:r>
      <w:proofErr w:type="spellEnd"/>
      <w:r>
        <w:rPr>
          <w:rFonts w:ascii="Times New Roman" w:eastAsia="Times New Roman" w:hAnsi="Times New Roman" w:cs="Times New Roman"/>
          <w:sz w:val="18"/>
          <w:szCs w:val="18"/>
        </w:rPr>
        <w:t xml:space="preserve">, A. R. y </w:t>
      </w:r>
      <w:proofErr w:type="spellStart"/>
      <w:r>
        <w:rPr>
          <w:rFonts w:ascii="Times New Roman" w:eastAsia="Times New Roman" w:hAnsi="Times New Roman" w:cs="Times New Roman"/>
          <w:sz w:val="18"/>
          <w:szCs w:val="18"/>
        </w:rPr>
        <w:t>Syamsuddin</w:t>
      </w:r>
      <w:proofErr w:type="spellEnd"/>
      <w:r>
        <w:rPr>
          <w:rFonts w:ascii="Times New Roman" w:eastAsia="Times New Roman" w:hAnsi="Times New Roman" w:cs="Times New Roman"/>
          <w:sz w:val="18"/>
          <w:szCs w:val="18"/>
        </w:rPr>
        <w:t xml:space="preserve">, M. M. (2020). STEAM </w:t>
      </w:r>
      <w:proofErr w:type="spellStart"/>
      <w:r>
        <w:rPr>
          <w:rFonts w:ascii="Times New Roman" w:eastAsia="Times New Roman" w:hAnsi="Times New Roman" w:cs="Times New Roman"/>
          <w:sz w:val="18"/>
          <w:szCs w:val="18"/>
        </w:rPr>
        <w:t>learning</w:t>
      </w:r>
      <w:proofErr w:type="spellEnd"/>
      <w:r>
        <w:rPr>
          <w:rFonts w:ascii="Times New Roman" w:eastAsia="Times New Roman" w:hAnsi="Times New Roman" w:cs="Times New Roman"/>
          <w:sz w:val="18"/>
          <w:szCs w:val="18"/>
        </w:rPr>
        <w:t xml:space="preserve"> in </w:t>
      </w:r>
      <w:proofErr w:type="spellStart"/>
      <w:r>
        <w:rPr>
          <w:rFonts w:ascii="Times New Roman" w:eastAsia="Times New Roman" w:hAnsi="Times New Roman" w:cs="Times New Roman"/>
          <w:sz w:val="18"/>
          <w:szCs w:val="18"/>
        </w:rPr>
        <w:t>early</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childhood</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education</w:t>
      </w:r>
      <w:proofErr w:type="spellEnd"/>
      <w:r>
        <w:rPr>
          <w:rFonts w:ascii="Times New Roman" w:eastAsia="Times New Roman" w:hAnsi="Times New Roman" w:cs="Times New Roman"/>
          <w:sz w:val="18"/>
          <w:szCs w:val="18"/>
        </w:rPr>
        <w:t xml:space="preserve">: A </w:t>
      </w:r>
      <w:proofErr w:type="spellStart"/>
      <w:r>
        <w:rPr>
          <w:rFonts w:ascii="Times New Roman" w:eastAsia="Times New Roman" w:hAnsi="Times New Roman" w:cs="Times New Roman"/>
          <w:sz w:val="18"/>
          <w:szCs w:val="18"/>
        </w:rPr>
        <w:t>literature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review</w:t>
      </w:r>
      <w:proofErr w:type="spellEnd"/>
      <w:r>
        <w:rPr>
          <w:rFonts w:ascii="Times New Roman" w:eastAsia="Times New Roman" w:hAnsi="Times New Roman" w:cs="Times New Roman"/>
          <w:sz w:val="18"/>
          <w:szCs w:val="18"/>
        </w:rPr>
        <w:t xml:space="preserve">. International </w:t>
      </w:r>
      <w:proofErr w:type="spellStart"/>
      <w:r>
        <w:rPr>
          <w:rFonts w:ascii="Times New Roman" w:eastAsia="Times New Roman" w:hAnsi="Times New Roman" w:cs="Times New Roman"/>
          <w:sz w:val="18"/>
          <w:szCs w:val="18"/>
        </w:rPr>
        <w:t>Journal</w:t>
      </w:r>
      <w:proofErr w:type="spellEnd"/>
      <w:r>
        <w:rPr>
          <w:rFonts w:ascii="Times New Roman" w:eastAsia="Times New Roman" w:hAnsi="Times New Roman" w:cs="Times New Roman"/>
          <w:sz w:val="18"/>
          <w:szCs w:val="18"/>
        </w:rPr>
        <w:t xml:space="preserve"> of </w:t>
      </w:r>
      <w:proofErr w:type="spellStart"/>
      <w:r>
        <w:rPr>
          <w:rFonts w:ascii="Times New Roman" w:eastAsia="Times New Roman" w:hAnsi="Times New Roman" w:cs="Times New Roman"/>
          <w:sz w:val="18"/>
          <w:szCs w:val="18"/>
        </w:rPr>
        <w:t>Pedagogy</w:t>
      </w:r>
      <w:proofErr w:type="spellEnd"/>
      <w:r>
        <w:rPr>
          <w:rFonts w:ascii="Times New Roman" w:eastAsia="Times New Roman" w:hAnsi="Times New Roman" w:cs="Times New Roman"/>
          <w:sz w:val="18"/>
          <w:szCs w:val="18"/>
        </w:rPr>
        <w:t xml:space="preserve"> and </w:t>
      </w:r>
      <w:proofErr w:type="spellStart"/>
      <w:r>
        <w:rPr>
          <w:rFonts w:ascii="Times New Roman" w:eastAsia="Times New Roman" w:hAnsi="Times New Roman" w:cs="Times New Roman"/>
          <w:sz w:val="18"/>
          <w:szCs w:val="18"/>
        </w:rPr>
        <w:t>Teacher</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Education</w:t>
      </w:r>
      <w:proofErr w:type="spellEnd"/>
      <w:r>
        <w:rPr>
          <w:rFonts w:ascii="Times New Roman" w:eastAsia="Times New Roman" w:hAnsi="Times New Roman" w:cs="Times New Roman"/>
          <w:sz w:val="18"/>
          <w:szCs w:val="18"/>
        </w:rPr>
        <w:t>, 4(1), 33–44. https://doi.org/10.20961/ijpte.v4i1.39855</w:t>
      </w:r>
    </w:p>
  </w:footnote>
  <w:footnote w:id="16">
    <w:p w14:paraId="266D9937" w14:textId="77777777" w:rsidR="00A615A6" w:rsidRDefault="00A92D00">
      <w:pPr>
        <w:jc w:val="both"/>
        <w:rPr>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Aria, M. y </w:t>
      </w:r>
      <w:proofErr w:type="spellStart"/>
      <w:r>
        <w:rPr>
          <w:rFonts w:ascii="Times New Roman" w:eastAsia="Times New Roman" w:hAnsi="Times New Roman" w:cs="Times New Roman"/>
          <w:sz w:val="18"/>
          <w:szCs w:val="18"/>
        </w:rPr>
        <w:t>Cuccurullo</w:t>
      </w:r>
      <w:proofErr w:type="spellEnd"/>
      <w:r>
        <w:rPr>
          <w:rFonts w:ascii="Times New Roman" w:eastAsia="Times New Roman" w:hAnsi="Times New Roman" w:cs="Times New Roman"/>
          <w:sz w:val="18"/>
          <w:szCs w:val="18"/>
        </w:rPr>
        <w:t xml:space="preserve">, C. (2017). </w:t>
      </w:r>
      <w:proofErr w:type="spellStart"/>
      <w:r>
        <w:rPr>
          <w:rFonts w:ascii="Times New Roman" w:eastAsia="Times New Roman" w:hAnsi="Times New Roman" w:cs="Times New Roman"/>
          <w:sz w:val="18"/>
          <w:szCs w:val="18"/>
        </w:rPr>
        <w:t>Bibliometrix</w:t>
      </w:r>
      <w:proofErr w:type="spellEnd"/>
      <w:r>
        <w:rPr>
          <w:rFonts w:ascii="Times New Roman" w:eastAsia="Times New Roman" w:hAnsi="Times New Roman" w:cs="Times New Roman"/>
          <w:sz w:val="18"/>
          <w:szCs w:val="18"/>
        </w:rPr>
        <w:t xml:space="preserve"> : </w:t>
      </w:r>
      <w:proofErr w:type="spellStart"/>
      <w:r>
        <w:rPr>
          <w:rFonts w:ascii="Times New Roman" w:eastAsia="Times New Roman" w:hAnsi="Times New Roman" w:cs="Times New Roman"/>
          <w:sz w:val="18"/>
          <w:szCs w:val="18"/>
        </w:rPr>
        <w:t>An</w:t>
      </w:r>
      <w:proofErr w:type="spellEnd"/>
      <w:r>
        <w:rPr>
          <w:rFonts w:ascii="Times New Roman" w:eastAsia="Times New Roman" w:hAnsi="Times New Roman" w:cs="Times New Roman"/>
          <w:sz w:val="18"/>
          <w:szCs w:val="18"/>
        </w:rPr>
        <w:t xml:space="preserve"> R-</w:t>
      </w:r>
      <w:proofErr w:type="spellStart"/>
      <w:r>
        <w:rPr>
          <w:rFonts w:ascii="Times New Roman" w:eastAsia="Times New Roman" w:hAnsi="Times New Roman" w:cs="Times New Roman"/>
          <w:sz w:val="18"/>
          <w:szCs w:val="18"/>
        </w:rPr>
        <w:t>tool</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for</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comprehensive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science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mapping</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analysis</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Journal</w:t>
      </w:r>
      <w:proofErr w:type="spellEnd"/>
      <w:r>
        <w:rPr>
          <w:rFonts w:ascii="Times New Roman" w:eastAsia="Times New Roman" w:hAnsi="Times New Roman" w:cs="Times New Roman"/>
          <w:sz w:val="18"/>
          <w:szCs w:val="18"/>
        </w:rPr>
        <w:t xml:space="preserve"> of </w:t>
      </w:r>
      <w:proofErr w:type="spellStart"/>
      <w:r>
        <w:rPr>
          <w:rFonts w:ascii="Times New Roman" w:eastAsia="Times New Roman" w:hAnsi="Times New Roman" w:cs="Times New Roman"/>
          <w:sz w:val="18"/>
          <w:szCs w:val="18"/>
        </w:rPr>
        <w:t>Informetrics</w:t>
      </w:r>
      <w:proofErr w:type="spellEnd"/>
      <w:r>
        <w:rPr>
          <w:rFonts w:ascii="Times New Roman" w:eastAsia="Times New Roman" w:hAnsi="Times New Roman" w:cs="Times New Roman"/>
          <w:sz w:val="18"/>
          <w:szCs w:val="18"/>
        </w:rPr>
        <w:t>, 11(4), 959–975. https://doi.org/10.1016/j.joi.2017.08.007</w:t>
      </w:r>
    </w:p>
  </w:footnote>
  <w:footnote w:id="17">
    <w:p w14:paraId="559B918B"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Gavari-Starkie</w:t>
      </w:r>
      <w:proofErr w:type="spellEnd"/>
      <w:r>
        <w:rPr>
          <w:rFonts w:ascii="Times New Roman" w:eastAsia="Times New Roman" w:hAnsi="Times New Roman" w:cs="Times New Roman"/>
          <w:sz w:val="18"/>
          <w:szCs w:val="18"/>
        </w:rPr>
        <w:t xml:space="preserve">, E., Espinosa-Gutiérrez, P.T. y </w:t>
      </w:r>
      <w:proofErr w:type="spellStart"/>
      <w:r>
        <w:rPr>
          <w:rFonts w:ascii="Times New Roman" w:eastAsia="Times New Roman" w:hAnsi="Times New Roman" w:cs="Times New Roman"/>
          <w:sz w:val="18"/>
          <w:szCs w:val="18"/>
        </w:rPr>
        <w:t>Lucini</w:t>
      </w:r>
      <w:proofErr w:type="spellEnd"/>
      <w:r>
        <w:rPr>
          <w:rFonts w:ascii="Times New Roman" w:eastAsia="Times New Roman" w:hAnsi="Times New Roman" w:cs="Times New Roman"/>
          <w:sz w:val="18"/>
          <w:szCs w:val="18"/>
        </w:rPr>
        <w:t xml:space="preserve">-Baquero, C. (2022). </w:t>
      </w:r>
      <w:proofErr w:type="spellStart"/>
      <w:r>
        <w:rPr>
          <w:rFonts w:ascii="Times New Roman" w:eastAsia="Times New Roman" w:hAnsi="Times New Roman" w:cs="Times New Roman"/>
          <w:sz w:val="18"/>
          <w:szCs w:val="18"/>
        </w:rPr>
        <w:t>Sustainability</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through</w:t>
      </w:r>
      <w:proofErr w:type="spellEnd"/>
      <w:r>
        <w:rPr>
          <w:rFonts w:ascii="Times New Roman" w:eastAsia="Times New Roman" w:hAnsi="Times New Roman" w:cs="Times New Roman"/>
          <w:sz w:val="18"/>
          <w:szCs w:val="18"/>
        </w:rPr>
        <w:t xml:space="preserve"> STEM and STEAM </w:t>
      </w:r>
      <w:proofErr w:type="spellStart"/>
      <w:r>
        <w:rPr>
          <w:rFonts w:ascii="Times New Roman" w:eastAsia="Times New Roman" w:hAnsi="Times New Roman" w:cs="Times New Roman"/>
          <w:sz w:val="18"/>
          <w:szCs w:val="18"/>
        </w:rPr>
        <w:t>education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creating</w:t>
      </w:r>
      <w:proofErr w:type="spellEnd"/>
      <w:r>
        <w:rPr>
          <w:rFonts w:ascii="Times New Roman" w:eastAsia="Times New Roman" w:hAnsi="Times New Roman" w:cs="Times New Roman"/>
          <w:sz w:val="18"/>
          <w:szCs w:val="18"/>
        </w:rPr>
        <w:t xml:space="preserve"> links </w:t>
      </w:r>
      <w:proofErr w:type="spellStart"/>
      <w:r>
        <w:rPr>
          <w:rFonts w:ascii="Times New Roman" w:eastAsia="Times New Roman" w:hAnsi="Times New Roman" w:cs="Times New Roman"/>
          <w:sz w:val="18"/>
          <w:szCs w:val="18"/>
        </w:rPr>
        <w:t>with</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land</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for</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improvement</w:t>
      </w:r>
      <w:proofErr w:type="spellEnd"/>
      <w:r>
        <w:rPr>
          <w:rFonts w:ascii="Times New Roman" w:eastAsia="Times New Roman" w:hAnsi="Times New Roman" w:cs="Times New Roman"/>
          <w:sz w:val="18"/>
          <w:szCs w:val="18"/>
        </w:rPr>
        <w:t xml:space="preserve"> of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rural </w:t>
      </w:r>
      <w:proofErr w:type="spellStart"/>
      <w:r>
        <w:rPr>
          <w:rFonts w:ascii="Times New Roman" w:eastAsia="Times New Roman" w:hAnsi="Times New Roman" w:cs="Times New Roman"/>
          <w:sz w:val="18"/>
          <w:szCs w:val="18"/>
        </w:rPr>
        <w:t>world</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Land</w:t>
      </w:r>
      <w:proofErr w:type="spellEnd"/>
      <w:r>
        <w:rPr>
          <w:rFonts w:ascii="Times New Roman" w:eastAsia="Times New Roman" w:hAnsi="Times New Roman" w:cs="Times New Roman"/>
          <w:sz w:val="18"/>
          <w:szCs w:val="18"/>
        </w:rPr>
        <w:t>, 11(10), 1869. https://doi.org/10.3390/land11101869</w:t>
      </w:r>
    </w:p>
  </w:footnote>
  <w:footnote w:id="18">
    <w:p w14:paraId="4C2B7509"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Business </w:t>
      </w:r>
      <w:proofErr w:type="spellStart"/>
      <w:r>
        <w:rPr>
          <w:rFonts w:ascii="Times New Roman" w:eastAsia="Times New Roman" w:hAnsi="Times New Roman" w:cs="Times New Roman"/>
          <w:sz w:val="18"/>
          <w:szCs w:val="18"/>
        </w:rPr>
        <w:t>Publication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Spain</w:t>
      </w:r>
      <w:proofErr w:type="spellEnd"/>
      <w:r>
        <w:rPr>
          <w:rFonts w:ascii="Times New Roman" w:eastAsia="Times New Roman" w:hAnsi="Times New Roman" w:cs="Times New Roman"/>
          <w:sz w:val="18"/>
          <w:szCs w:val="18"/>
        </w:rPr>
        <w:t xml:space="preserve"> (2021). IBM encabeza la lista de patentes por 28.º año consecutivo. Computing. https://www.computing.es/mercadoti/noticias/1123035046401/ibm-encabeza-lista-de-patentes-28-anoconsecutivo.1.html#:~:text=Los%20cient%C3%ADficos%20e%20investigadores%20de,l%C3% ADder%20por%2028%20a%C3%B1os%20consecutivos. </w:t>
      </w:r>
    </w:p>
  </w:footnote>
  <w:footnote w:id="19">
    <w:p w14:paraId="3A35B78E"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18"/>
          <w:szCs w:val="18"/>
        </w:rPr>
        <w:t xml:space="preserve"> </w:t>
      </w:r>
      <w:proofErr w:type="spellStart"/>
      <w:r>
        <w:rPr>
          <w:rFonts w:ascii="Times New Roman" w:eastAsia="Times New Roman" w:hAnsi="Times New Roman" w:cs="Times New Roman"/>
          <w:sz w:val="18"/>
          <w:szCs w:val="18"/>
        </w:rPr>
        <w:t>Jordan</w:t>
      </w:r>
      <w:proofErr w:type="spellEnd"/>
      <w:r>
        <w:rPr>
          <w:rFonts w:ascii="Times New Roman" w:eastAsia="Times New Roman" w:hAnsi="Times New Roman" w:cs="Times New Roman"/>
          <w:sz w:val="18"/>
          <w:szCs w:val="18"/>
        </w:rPr>
        <w:t xml:space="preserve">, A., y Dixon, W. (2018). ¿Por qué la cuarta revolución industrial necesita más graduados en carreras humanísticas? </w:t>
      </w:r>
      <w:proofErr w:type="spellStart"/>
      <w:r>
        <w:rPr>
          <w:rFonts w:ascii="Times New Roman" w:eastAsia="Times New Roman" w:hAnsi="Times New Roman" w:cs="Times New Roman"/>
          <w:sz w:val="18"/>
          <w:szCs w:val="18"/>
        </w:rPr>
        <w:t>World</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Economic</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Forum</w:t>
      </w:r>
      <w:proofErr w:type="spellEnd"/>
      <w:r>
        <w:rPr>
          <w:rFonts w:ascii="Times New Roman" w:eastAsia="Times New Roman" w:hAnsi="Times New Roman" w:cs="Times New Roman"/>
          <w:sz w:val="18"/>
          <w:szCs w:val="18"/>
        </w:rPr>
        <w:t xml:space="preserve">. https://es.weforum.org/agenda/2018/12/por-que-la-cuarta-revolucion-industrialnecesita-mas-graduados-en-carreras-humanisticas/ </w:t>
      </w:r>
    </w:p>
  </w:footnote>
  <w:footnote w:id="20">
    <w:p w14:paraId="39CFA1E5"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Fundación DECA Desarrollo Educación Calidad. (2023). Cómics y proyectos STEAM para motivar a jóvenes en entornos vulnerables. https://xvi-ponencias.ciaem-iacme.org/index.php/xviciaem/xviciaem/paper/viewFile/2183/1183</w:t>
      </w:r>
    </w:p>
  </w:footnote>
  <w:footnote w:id="21">
    <w:p w14:paraId="6D82A9D4"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UNESCO. (2017). </w:t>
      </w:r>
      <w:proofErr w:type="spellStart"/>
      <w:r>
        <w:rPr>
          <w:rFonts w:ascii="Times New Roman" w:eastAsia="Times New Roman" w:hAnsi="Times New Roman" w:cs="Times New Roman"/>
          <w:sz w:val="18"/>
          <w:szCs w:val="18"/>
        </w:rPr>
        <w:t>Education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for</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sustainable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development</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goals</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Learning</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objectives</w:t>
      </w:r>
      <w:proofErr w:type="spellEnd"/>
      <w:r>
        <w:rPr>
          <w:rFonts w:ascii="Times New Roman" w:eastAsia="Times New Roman" w:hAnsi="Times New Roman" w:cs="Times New Roman"/>
          <w:sz w:val="18"/>
          <w:szCs w:val="18"/>
        </w:rPr>
        <w:t xml:space="preserve">. </w:t>
      </w:r>
      <w:hyperlink r:id="rId9">
        <w:r>
          <w:rPr>
            <w:rFonts w:ascii="Times New Roman" w:eastAsia="Times New Roman" w:hAnsi="Times New Roman" w:cs="Times New Roman"/>
            <w:color w:val="1155CC"/>
            <w:sz w:val="18"/>
            <w:szCs w:val="18"/>
            <w:u w:val="single"/>
          </w:rPr>
          <w:t>https://unesdoc.unesco.org/ark:/48223/pf0000247444</w:t>
        </w:r>
      </w:hyperlink>
      <w:r>
        <w:rPr>
          <w:rFonts w:ascii="Times New Roman" w:eastAsia="Times New Roman" w:hAnsi="Times New Roman" w:cs="Times New Roman"/>
          <w:sz w:val="18"/>
          <w:szCs w:val="18"/>
        </w:rPr>
        <w:t xml:space="preserve"> </w:t>
      </w:r>
    </w:p>
  </w:footnote>
  <w:footnote w:id="22">
    <w:p w14:paraId="48BA0979"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highlight w:val="white"/>
        </w:rPr>
        <w:t xml:space="preserve">Botero, J. (2018). </w:t>
      </w:r>
      <w:r>
        <w:rPr>
          <w:rFonts w:ascii="Times New Roman" w:eastAsia="Times New Roman" w:hAnsi="Times New Roman" w:cs="Times New Roman"/>
          <w:i/>
          <w:sz w:val="18"/>
          <w:szCs w:val="18"/>
          <w:highlight w:val="white"/>
        </w:rPr>
        <w:t>Educación STEM. Introducción a una nueva forma de enseñar y aprender</w:t>
      </w:r>
      <w:r>
        <w:rPr>
          <w:rFonts w:ascii="Times New Roman" w:eastAsia="Times New Roman" w:hAnsi="Times New Roman" w:cs="Times New Roman"/>
          <w:sz w:val="18"/>
          <w:szCs w:val="18"/>
          <w:highlight w:val="white"/>
        </w:rPr>
        <w:t>. STEM Educación Colombia.</w:t>
      </w:r>
    </w:p>
  </w:footnote>
  <w:footnote w:id="23">
    <w:p w14:paraId="240A50AF"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Domènech Casal, J. (2019). STEM: Oportunidades y retos desde la Enseñanza de las Ciencias. UTE </w:t>
      </w:r>
      <w:proofErr w:type="spellStart"/>
      <w:r>
        <w:rPr>
          <w:rFonts w:ascii="Times New Roman" w:eastAsia="Times New Roman" w:hAnsi="Times New Roman" w:cs="Times New Roman"/>
          <w:sz w:val="18"/>
          <w:szCs w:val="18"/>
        </w:rPr>
        <w:t>Teaching</w:t>
      </w:r>
      <w:proofErr w:type="spellEnd"/>
      <w:r>
        <w:rPr>
          <w:rFonts w:ascii="Times New Roman" w:eastAsia="Times New Roman" w:hAnsi="Times New Roman" w:cs="Times New Roman"/>
          <w:sz w:val="18"/>
          <w:szCs w:val="18"/>
        </w:rPr>
        <w:t xml:space="preserve"> &amp; </w:t>
      </w:r>
      <w:proofErr w:type="spellStart"/>
      <w:r>
        <w:rPr>
          <w:rFonts w:ascii="Times New Roman" w:eastAsia="Times New Roman" w:hAnsi="Times New Roman" w:cs="Times New Roman"/>
          <w:sz w:val="18"/>
          <w:szCs w:val="18"/>
        </w:rPr>
        <w:t>Technology</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Universitas</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Tarraconensis</w:t>
      </w:r>
      <w:proofErr w:type="spellEnd"/>
      <w:r>
        <w:rPr>
          <w:rFonts w:ascii="Times New Roman" w:eastAsia="Times New Roman" w:hAnsi="Times New Roman" w:cs="Times New Roman"/>
          <w:sz w:val="18"/>
          <w:szCs w:val="18"/>
        </w:rPr>
        <w:t>), 1(2), 154–168. https://doi.org/10.17345/ute.2019.2.2646</w:t>
      </w:r>
    </w:p>
  </w:footnote>
  <w:footnote w:id="24">
    <w:p w14:paraId="3AC6085D" w14:textId="77777777" w:rsidR="00A615A6" w:rsidRDefault="00A92D00">
      <w:pPr>
        <w:pBdr>
          <w:top w:val="nil"/>
          <w:left w:val="nil"/>
          <w:bottom w:val="nil"/>
          <w:right w:val="nil"/>
          <w:between w:val="nil"/>
        </w:pBdr>
        <w:jc w:val="both"/>
        <w:rPr>
          <w:rFonts w:ascii="Times New Roman" w:eastAsia="Times New Roman" w:hAnsi="Times New Roman" w:cs="Times New Roman"/>
          <w:i/>
          <w:sz w:val="18"/>
          <w:szCs w:val="18"/>
        </w:rPr>
      </w:pPr>
      <w:r>
        <w:rPr>
          <w:vertAlign w:val="superscript"/>
        </w:rPr>
        <w:footnoteRef/>
      </w:r>
      <w:r>
        <w:rPr>
          <w:rFonts w:ascii="Times New Roman" w:eastAsia="Times New Roman" w:hAnsi="Times New Roman" w:cs="Times New Roman"/>
          <w:i/>
          <w:sz w:val="18"/>
          <w:szCs w:val="18"/>
        </w:rPr>
        <w:t xml:space="preserve"> Universidad Pedagógica Nacional. (2023). EL ENFOQUE STEM – STEAM EN LA EDUCACIÓN CIENTÍFICA: TENDENCIAS Y PERSPECTIVAS EN PUBLICACIONES ESPECIALIZADAS: UNA MIRADA DESDE CIENCIA, ARTE Y TECNOLOGÍA. http://repository.pedagogica.edu.co/bitstream/handle/20.500.12209/18439/EL%20ENFOQUE%20STEM.pdf?sequence=3</w:t>
      </w:r>
    </w:p>
  </w:footnote>
  <w:footnote w:id="25">
    <w:p w14:paraId="5A3BB9DD"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Ministerio de Educación Nacional. (2020). </w:t>
      </w:r>
      <w:r>
        <w:rPr>
          <w:rFonts w:ascii="Times New Roman" w:eastAsia="Times New Roman" w:hAnsi="Times New Roman" w:cs="Times New Roman"/>
          <w:i/>
          <w:sz w:val="18"/>
          <w:szCs w:val="18"/>
        </w:rPr>
        <w:t>Gobierno nacional lanza Ruta STEM para fortalecer las capacidades de docentes y estudiantes del país en tecnología, ciencia, ingeniería y matemáticas</w:t>
      </w:r>
      <w:r>
        <w:rPr>
          <w:rFonts w:ascii="Times New Roman" w:eastAsia="Times New Roman" w:hAnsi="Times New Roman" w:cs="Times New Roman"/>
          <w:sz w:val="18"/>
          <w:szCs w:val="18"/>
        </w:rPr>
        <w:t>. Recuperado de</w:t>
      </w:r>
      <w:hyperlink r:id="rId10">
        <w:r>
          <w:rPr>
            <w:rFonts w:ascii="Times New Roman" w:eastAsia="Times New Roman" w:hAnsi="Times New Roman" w:cs="Times New Roman"/>
            <w:sz w:val="18"/>
            <w:szCs w:val="18"/>
          </w:rPr>
          <w:t xml:space="preserve"> </w:t>
        </w:r>
      </w:hyperlink>
      <w:hyperlink r:id="rId11">
        <w:r>
          <w:rPr>
            <w:rFonts w:ascii="Times New Roman" w:eastAsia="Times New Roman" w:hAnsi="Times New Roman" w:cs="Times New Roman"/>
            <w:color w:val="1155CC"/>
            <w:sz w:val="18"/>
            <w:szCs w:val="18"/>
            <w:u w:val="single"/>
          </w:rPr>
          <w:t>https://www.mineducacion.gov.co</w:t>
        </w:r>
      </w:hyperlink>
    </w:p>
  </w:footnote>
  <w:footnote w:id="26">
    <w:p w14:paraId="40564A92"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Gobernación del Cauca. (s.f.). </w:t>
      </w:r>
      <w:r>
        <w:rPr>
          <w:rFonts w:ascii="Times New Roman" w:eastAsia="Times New Roman" w:hAnsi="Times New Roman" w:cs="Times New Roman"/>
          <w:i/>
          <w:sz w:val="18"/>
          <w:szCs w:val="18"/>
        </w:rPr>
        <w:t>El Cauca avanza en educación digital con aulas STEAM</w:t>
      </w:r>
      <w:r>
        <w:rPr>
          <w:rFonts w:ascii="Times New Roman" w:eastAsia="Times New Roman" w:hAnsi="Times New Roman" w:cs="Times New Roman"/>
          <w:sz w:val="18"/>
          <w:szCs w:val="18"/>
        </w:rPr>
        <w:t>. Recuperado de</w:t>
      </w:r>
      <w:hyperlink r:id="rId12">
        <w:r>
          <w:rPr>
            <w:rFonts w:ascii="Times New Roman" w:eastAsia="Times New Roman" w:hAnsi="Times New Roman" w:cs="Times New Roman"/>
            <w:sz w:val="18"/>
            <w:szCs w:val="18"/>
          </w:rPr>
          <w:t xml:space="preserve"> </w:t>
        </w:r>
      </w:hyperlink>
      <w:hyperlink r:id="rId13">
        <w:r>
          <w:rPr>
            <w:rFonts w:ascii="Times New Roman" w:eastAsia="Times New Roman" w:hAnsi="Times New Roman" w:cs="Times New Roman"/>
            <w:color w:val="1155CC"/>
            <w:sz w:val="18"/>
            <w:szCs w:val="18"/>
            <w:u w:val="single"/>
          </w:rPr>
          <w:t>https://www.cauca.gov.co</w:t>
        </w:r>
      </w:hyperlink>
      <w:r>
        <w:rPr>
          <w:rFonts w:ascii="Times New Roman" w:eastAsia="Times New Roman" w:hAnsi="Times New Roman" w:cs="Times New Roman"/>
          <w:sz w:val="18"/>
          <w:szCs w:val="18"/>
        </w:rPr>
        <w:t xml:space="preserve"> </w:t>
      </w:r>
    </w:p>
  </w:footnote>
  <w:footnote w:id="27">
    <w:p w14:paraId="4977A379"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Semana. (2023). </w:t>
      </w:r>
      <w:r>
        <w:rPr>
          <w:rFonts w:ascii="Times New Roman" w:eastAsia="Times New Roman" w:hAnsi="Times New Roman" w:cs="Times New Roman"/>
          <w:i/>
          <w:sz w:val="18"/>
          <w:szCs w:val="18"/>
        </w:rPr>
        <w:t xml:space="preserve">Industria </w:t>
      </w:r>
      <w:proofErr w:type="spellStart"/>
      <w:r>
        <w:rPr>
          <w:rFonts w:ascii="Times New Roman" w:eastAsia="Times New Roman" w:hAnsi="Times New Roman" w:cs="Times New Roman"/>
          <w:i/>
          <w:sz w:val="18"/>
          <w:szCs w:val="18"/>
        </w:rPr>
        <w:t>gamer</w:t>
      </w:r>
      <w:proofErr w:type="spellEnd"/>
      <w:r>
        <w:rPr>
          <w:rFonts w:ascii="Times New Roman" w:eastAsia="Times New Roman" w:hAnsi="Times New Roman" w:cs="Times New Roman"/>
          <w:i/>
          <w:sz w:val="18"/>
          <w:szCs w:val="18"/>
        </w:rPr>
        <w:t xml:space="preserve"> en Colombia podría superar 450 millones de dólares en 2024, según consultora</w:t>
      </w:r>
      <w:r>
        <w:rPr>
          <w:rFonts w:ascii="Times New Roman" w:eastAsia="Times New Roman" w:hAnsi="Times New Roman" w:cs="Times New Roman"/>
          <w:sz w:val="18"/>
          <w:szCs w:val="18"/>
        </w:rPr>
        <w:t>. Recuperado de</w:t>
      </w:r>
      <w:hyperlink r:id="rId14">
        <w:r>
          <w:rPr>
            <w:rFonts w:ascii="Times New Roman" w:eastAsia="Times New Roman" w:hAnsi="Times New Roman" w:cs="Times New Roman"/>
            <w:sz w:val="18"/>
            <w:szCs w:val="18"/>
          </w:rPr>
          <w:t xml:space="preserve"> </w:t>
        </w:r>
      </w:hyperlink>
      <w:hyperlink r:id="rId15">
        <w:r>
          <w:rPr>
            <w:rFonts w:ascii="Times New Roman" w:eastAsia="Times New Roman" w:hAnsi="Times New Roman" w:cs="Times New Roman"/>
            <w:color w:val="1155CC"/>
            <w:sz w:val="18"/>
            <w:szCs w:val="18"/>
            <w:u w:val="single"/>
          </w:rPr>
          <w:t>https://www.semana.com</w:t>
        </w:r>
      </w:hyperlink>
    </w:p>
  </w:footnote>
  <w:footnote w:id="28">
    <w:p w14:paraId="0DC72A08"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La República. (2023). </w:t>
      </w:r>
      <w:r>
        <w:rPr>
          <w:rFonts w:ascii="Times New Roman" w:eastAsia="Times New Roman" w:hAnsi="Times New Roman" w:cs="Times New Roman"/>
          <w:i/>
          <w:sz w:val="18"/>
          <w:szCs w:val="18"/>
        </w:rPr>
        <w:t>Videojuegos, un negocio que sumó en 2023 más de US$500 millones en Colombia</w:t>
      </w:r>
      <w:r>
        <w:rPr>
          <w:rFonts w:ascii="Times New Roman" w:eastAsia="Times New Roman" w:hAnsi="Times New Roman" w:cs="Times New Roman"/>
          <w:sz w:val="18"/>
          <w:szCs w:val="18"/>
        </w:rPr>
        <w:t>. Recuperado de</w:t>
      </w:r>
      <w:hyperlink r:id="rId16">
        <w:r>
          <w:rPr>
            <w:rFonts w:ascii="Times New Roman" w:eastAsia="Times New Roman" w:hAnsi="Times New Roman" w:cs="Times New Roman"/>
            <w:sz w:val="18"/>
            <w:szCs w:val="18"/>
          </w:rPr>
          <w:t xml:space="preserve"> </w:t>
        </w:r>
      </w:hyperlink>
      <w:hyperlink r:id="rId17">
        <w:r>
          <w:rPr>
            <w:rFonts w:ascii="Times New Roman" w:eastAsia="Times New Roman" w:hAnsi="Times New Roman" w:cs="Times New Roman"/>
            <w:color w:val="1155CC"/>
            <w:sz w:val="18"/>
            <w:szCs w:val="18"/>
            <w:u w:val="single"/>
          </w:rPr>
          <w:t>https://www.larepublica.co</w:t>
        </w:r>
      </w:hyperlink>
    </w:p>
  </w:footnote>
  <w:footnote w:id="29">
    <w:p w14:paraId="2CA43CEA"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Laboratorio de Economía de la Educación (LEE) de la Pontificia Universidad Javeriana (2022). Las mujeres en carreras STEM. Informe No. 67. Disponible en https://lee.javeriana.edu.co/publicaciones-y-documentos</w:t>
      </w:r>
    </w:p>
  </w:footnote>
  <w:footnote w:id="30">
    <w:p w14:paraId="33C1A5D7"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Idem</w:t>
      </w:r>
      <w:proofErr w:type="spellEnd"/>
      <w:r>
        <w:rPr>
          <w:rFonts w:ascii="Times New Roman" w:eastAsia="Times New Roman" w:hAnsi="Times New Roman" w:cs="Times New Roman"/>
          <w:sz w:val="18"/>
          <w:szCs w:val="18"/>
        </w:rPr>
        <w:t>.</w:t>
      </w:r>
    </w:p>
  </w:footnote>
  <w:footnote w:id="31">
    <w:p w14:paraId="2703F1DD"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Morales Inga, S. y Morales Tristán, O. (2020). ¿Por qué hay pocas mujeres científicas? Una revisión de literatura sobre la brecha de género en carreras STEM. Revista Internacional de Investigación en Comunicación </w:t>
      </w:r>
      <w:proofErr w:type="spellStart"/>
      <w:r>
        <w:rPr>
          <w:rFonts w:ascii="Times New Roman" w:eastAsia="Times New Roman" w:hAnsi="Times New Roman" w:cs="Times New Roman"/>
          <w:sz w:val="18"/>
          <w:szCs w:val="18"/>
        </w:rPr>
        <w:t>aDResearch</w:t>
      </w:r>
      <w:proofErr w:type="spellEnd"/>
      <w:r>
        <w:rPr>
          <w:rFonts w:ascii="Times New Roman" w:eastAsia="Times New Roman" w:hAnsi="Times New Roman" w:cs="Times New Roman"/>
          <w:sz w:val="18"/>
          <w:szCs w:val="18"/>
        </w:rPr>
        <w:t xml:space="preserve"> ESIC, 22 (22), 118- 133. Recuperado de https://repositorio.esan.edu.pe/bitstream/handle/20.500.12640/2501/morales_2020. </w:t>
      </w:r>
      <w:proofErr w:type="spellStart"/>
      <w:r>
        <w:rPr>
          <w:rFonts w:ascii="Times New Roman" w:eastAsia="Times New Roman" w:hAnsi="Times New Roman" w:cs="Times New Roman"/>
          <w:sz w:val="18"/>
          <w:szCs w:val="18"/>
        </w:rPr>
        <w:t>pdf?sequence</w:t>
      </w:r>
      <w:proofErr w:type="spellEnd"/>
      <w:r>
        <w:rPr>
          <w:rFonts w:ascii="Times New Roman" w:eastAsia="Times New Roman" w:hAnsi="Times New Roman" w:cs="Times New Roman"/>
          <w:sz w:val="18"/>
          <w:szCs w:val="18"/>
        </w:rPr>
        <w:t>=1&amp;isAllowed=y</w:t>
      </w:r>
    </w:p>
  </w:footnote>
  <w:footnote w:id="32">
    <w:p w14:paraId="5D626D12"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Abadía, L. y Bernal, G. (2017). A </w:t>
      </w:r>
      <w:proofErr w:type="spellStart"/>
      <w:r>
        <w:rPr>
          <w:rFonts w:ascii="Times New Roman" w:eastAsia="Times New Roman" w:hAnsi="Times New Roman" w:cs="Times New Roman"/>
          <w:sz w:val="18"/>
          <w:szCs w:val="18"/>
        </w:rPr>
        <w:t>Widening</w:t>
      </w:r>
      <w:proofErr w:type="spellEnd"/>
      <w:r>
        <w:rPr>
          <w:rFonts w:ascii="Times New Roman" w:eastAsia="Times New Roman" w:hAnsi="Times New Roman" w:cs="Times New Roman"/>
          <w:sz w:val="18"/>
          <w:szCs w:val="18"/>
        </w:rPr>
        <w:t xml:space="preserve"> Gap? A </w:t>
      </w:r>
      <w:proofErr w:type="spellStart"/>
      <w:r>
        <w:rPr>
          <w:rFonts w:ascii="Times New Roman" w:eastAsia="Times New Roman" w:hAnsi="Times New Roman" w:cs="Times New Roman"/>
          <w:sz w:val="18"/>
          <w:szCs w:val="18"/>
        </w:rPr>
        <w:t>Gender-Based</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Analysis</w:t>
      </w:r>
      <w:proofErr w:type="spellEnd"/>
      <w:r>
        <w:rPr>
          <w:rFonts w:ascii="Times New Roman" w:eastAsia="Times New Roman" w:hAnsi="Times New Roman" w:cs="Times New Roman"/>
          <w:sz w:val="18"/>
          <w:szCs w:val="18"/>
        </w:rPr>
        <w:t xml:space="preserve"> of Performance </w:t>
      </w:r>
      <w:proofErr w:type="spellStart"/>
      <w:r>
        <w:rPr>
          <w:rFonts w:ascii="Times New Roman" w:eastAsia="Times New Roman" w:hAnsi="Times New Roman" w:cs="Times New Roman"/>
          <w:sz w:val="18"/>
          <w:szCs w:val="18"/>
        </w:rPr>
        <w:t>on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Colombian</w:t>
      </w:r>
      <w:proofErr w:type="spellEnd"/>
      <w:r>
        <w:rPr>
          <w:rFonts w:ascii="Times New Roman" w:eastAsia="Times New Roman" w:hAnsi="Times New Roman" w:cs="Times New Roman"/>
          <w:sz w:val="18"/>
          <w:szCs w:val="18"/>
        </w:rPr>
        <w:t xml:space="preserve"> High </w:t>
      </w:r>
      <w:proofErr w:type="spellStart"/>
      <w:r>
        <w:rPr>
          <w:rFonts w:ascii="Times New Roman" w:eastAsia="Times New Roman" w:hAnsi="Times New Roman" w:cs="Times New Roman"/>
          <w:sz w:val="18"/>
          <w:szCs w:val="18"/>
        </w:rPr>
        <w:t>School</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Exit</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Examination</w:t>
      </w:r>
      <w:proofErr w:type="spellEnd"/>
      <w:r>
        <w:rPr>
          <w:rFonts w:ascii="Times New Roman" w:eastAsia="Times New Roman" w:hAnsi="Times New Roman" w:cs="Times New Roman"/>
          <w:sz w:val="18"/>
          <w:szCs w:val="18"/>
        </w:rPr>
        <w:t>. Revista de Economía del Rosario, [S.l.], v. 20, n. 1, p. 28.</w:t>
      </w:r>
    </w:p>
  </w:footnote>
  <w:footnote w:id="33">
    <w:p w14:paraId="23FF37D0" w14:textId="77777777" w:rsidR="00A615A6" w:rsidRDefault="00A92D00">
      <w:pPr>
        <w:rPr>
          <w:sz w:val="20"/>
          <w:szCs w:val="20"/>
        </w:rPr>
      </w:pPr>
      <w:r>
        <w:rPr>
          <w:vertAlign w:val="superscript"/>
        </w:rPr>
        <w:footnoteRef/>
      </w:r>
      <w:r>
        <w:rPr>
          <w:sz w:val="20"/>
          <w:szCs w:val="20"/>
        </w:rPr>
        <w:t xml:space="preserve"> </w:t>
      </w:r>
      <w:r>
        <w:rPr>
          <w:rFonts w:ascii="Times New Roman" w:eastAsia="Times New Roman" w:hAnsi="Times New Roman" w:cs="Times New Roman"/>
          <w:sz w:val="18"/>
          <w:szCs w:val="18"/>
        </w:rPr>
        <w:t>Laboratorio de Economía de la Educación (LEE) de la Pontificia Universidad Javeriana (2022). Las mujeres en carreras STEM. Informe No. 67. Disponible en https://lee.javeriana.edu.co/publicaciones-y-documentos</w:t>
      </w:r>
    </w:p>
  </w:footnote>
  <w:footnote w:id="34">
    <w:p w14:paraId="110CEC19"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Departamento Administrativo Nacional de Estadística (DANE). (2021). </w:t>
      </w:r>
      <w:r>
        <w:rPr>
          <w:rFonts w:ascii="Times New Roman" w:eastAsia="Times New Roman" w:hAnsi="Times New Roman" w:cs="Times New Roman"/>
          <w:i/>
          <w:sz w:val="18"/>
          <w:szCs w:val="18"/>
        </w:rPr>
        <w:t>Nota estadística: Juventud en Colombia</w:t>
      </w:r>
      <w:r>
        <w:rPr>
          <w:rFonts w:ascii="Times New Roman" w:eastAsia="Times New Roman" w:hAnsi="Times New Roman" w:cs="Times New Roman"/>
          <w:sz w:val="18"/>
          <w:szCs w:val="18"/>
        </w:rPr>
        <w:t xml:space="preserve">. Recuperado de </w:t>
      </w:r>
      <w:hyperlink r:id="rId18">
        <w:r>
          <w:rPr>
            <w:rFonts w:ascii="Times New Roman" w:eastAsia="Times New Roman" w:hAnsi="Times New Roman" w:cs="Times New Roman"/>
            <w:color w:val="1155CC"/>
            <w:sz w:val="18"/>
            <w:szCs w:val="18"/>
            <w:u w:val="single"/>
          </w:rPr>
          <w:t>https://www.dane.gov.co/files/investigaciones/notas-estadisticas/dic-2021-nota-estadistica-juventud-en-colombia.pdf</w:t>
        </w:r>
      </w:hyperlink>
      <w:r>
        <w:rPr>
          <w:rFonts w:ascii="Times New Roman" w:eastAsia="Times New Roman" w:hAnsi="Times New Roman" w:cs="Times New Roman"/>
          <w:sz w:val="18"/>
          <w:szCs w:val="18"/>
        </w:rPr>
        <w:t xml:space="preserve"> </w:t>
      </w:r>
    </w:p>
  </w:footnote>
  <w:footnote w:id="35">
    <w:p w14:paraId="37CA4423" w14:textId="77777777" w:rsidR="00A615A6" w:rsidRDefault="00A92D00">
      <w:pPr>
        <w:jc w:val="both"/>
        <w:rPr>
          <w:sz w:val="20"/>
          <w:szCs w:val="20"/>
        </w:rPr>
      </w:pPr>
      <w:r>
        <w:rPr>
          <w:vertAlign w:val="superscript"/>
        </w:rPr>
        <w:footnoteRef/>
      </w:r>
      <w:r>
        <w:rPr>
          <w:sz w:val="20"/>
          <w:szCs w:val="20"/>
        </w:rPr>
        <w:t xml:space="preserve"> Ministerio de Educación Nacional. (2020). Informe de avance en la implementación de proyectos educativos STEAM en Colombia. Recuperado de </w:t>
      </w:r>
      <w:hyperlink r:id="rId19">
        <w:r>
          <w:rPr>
            <w:sz w:val="20"/>
            <w:szCs w:val="20"/>
          </w:rPr>
          <w:t>https://www.mineducacion.gov.co/1780/articles-406829_recurso_28.pdf</w:t>
        </w:r>
      </w:hyperlink>
      <w:r>
        <w:rPr>
          <w:sz w:val="20"/>
          <w:szCs w:val="20"/>
        </w:rPr>
        <w:t xml:space="preserve"> </w:t>
      </w:r>
    </w:p>
  </w:footnote>
  <w:footnote w:id="36">
    <w:p w14:paraId="65A4D060"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Ministerio de Ciencia, Tecnología e Innovación. (s.f.). </w:t>
      </w:r>
      <w:r>
        <w:rPr>
          <w:rFonts w:ascii="Times New Roman" w:eastAsia="Times New Roman" w:hAnsi="Times New Roman" w:cs="Times New Roman"/>
          <w:i/>
          <w:sz w:val="18"/>
          <w:szCs w:val="18"/>
        </w:rPr>
        <w:t>Colombia Robótica</w:t>
      </w:r>
      <w:r>
        <w:rPr>
          <w:rFonts w:ascii="Times New Roman" w:eastAsia="Times New Roman" w:hAnsi="Times New Roman" w:cs="Times New Roman"/>
          <w:sz w:val="18"/>
          <w:szCs w:val="18"/>
        </w:rPr>
        <w:t xml:space="preserve">. Recuperado de </w:t>
      </w:r>
      <w:hyperlink r:id="rId20">
        <w:r>
          <w:rPr>
            <w:rFonts w:ascii="Times New Roman" w:eastAsia="Times New Roman" w:hAnsi="Times New Roman" w:cs="Times New Roman"/>
            <w:color w:val="1155CC"/>
            <w:sz w:val="18"/>
            <w:szCs w:val="18"/>
            <w:u w:val="single"/>
          </w:rPr>
          <w:t>https://minciencias.gov.co/colombia-robotica</w:t>
        </w:r>
      </w:hyperlink>
      <w:r>
        <w:rPr>
          <w:rFonts w:ascii="Times New Roman" w:eastAsia="Times New Roman" w:hAnsi="Times New Roman" w:cs="Times New Roman"/>
          <w:sz w:val="18"/>
          <w:szCs w:val="18"/>
        </w:rPr>
        <w:t xml:space="preserve"> </w:t>
      </w:r>
    </w:p>
  </w:footnote>
  <w:footnote w:id="37">
    <w:p w14:paraId="7EDACEA9"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Alcaldía de Medellín. (s.f.). </w:t>
      </w:r>
      <w:r>
        <w:rPr>
          <w:rFonts w:ascii="Times New Roman" w:eastAsia="Times New Roman" w:hAnsi="Times New Roman" w:cs="Times New Roman"/>
          <w:i/>
          <w:sz w:val="18"/>
          <w:szCs w:val="18"/>
        </w:rPr>
        <w:t>En Medellín, 12.739 niñas y jóvenes participan en procesos de aprendizaje en ciencia, tecnología e innovación</w:t>
      </w:r>
      <w:r>
        <w:rPr>
          <w:rFonts w:ascii="Times New Roman" w:eastAsia="Times New Roman" w:hAnsi="Times New Roman" w:cs="Times New Roman"/>
          <w:sz w:val="18"/>
          <w:szCs w:val="18"/>
        </w:rPr>
        <w:t>. Recuperado de https://www.medellin.edu.co/en-medellin-12-739-ninas-y-jovenes-participan-en-procesos-de-aprendizaje-en-ciencia-tecnologia-e-innovacion/</w:t>
      </w:r>
    </w:p>
  </w:footnote>
  <w:footnote w:id="38">
    <w:p w14:paraId="2B3716CB"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ICFES. (2021). </w:t>
      </w:r>
      <w:r>
        <w:rPr>
          <w:rFonts w:ascii="Times New Roman" w:eastAsia="Times New Roman" w:hAnsi="Times New Roman" w:cs="Times New Roman"/>
          <w:i/>
          <w:sz w:val="18"/>
          <w:szCs w:val="18"/>
        </w:rPr>
        <w:t>Informe Nacional de Resultados</w:t>
      </w:r>
      <w:r>
        <w:rPr>
          <w:rFonts w:ascii="Times New Roman" w:eastAsia="Times New Roman" w:hAnsi="Times New Roman" w:cs="Times New Roman"/>
          <w:sz w:val="18"/>
          <w:szCs w:val="18"/>
        </w:rPr>
        <w:t>. https://www.icfes.gov.co/documents/20143/2211695/Informe+nacional+de+resultados+Saber+11+2020.pdf. 2021</w:t>
      </w:r>
    </w:p>
  </w:footnote>
  <w:footnote w:id="39">
    <w:p w14:paraId="7B7224B6"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Laboratorio de Economía de la Educación (LEE) de la Pontificia Universidad Javeriana. (2023). Informe No. 79 Características y retos de la educación rural en Colombia. Disponible en https://lee.javeriana.edu.co/publicacionesy-documentos</w:t>
      </w:r>
    </w:p>
  </w:footnote>
  <w:footnote w:id="40">
    <w:p w14:paraId="64F75872"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Idem</w:t>
      </w:r>
      <w:proofErr w:type="spellEnd"/>
      <w:r>
        <w:rPr>
          <w:rFonts w:ascii="Times New Roman" w:eastAsia="Times New Roman" w:hAnsi="Times New Roman" w:cs="Times New Roman"/>
          <w:sz w:val="18"/>
          <w:szCs w:val="18"/>
        </w:rPr>
        <w:t xml:space="preserve">. </w:t>
      </w:r>
    </w:p>
  </w:footnote>
  <w:footnote w:id="41">
    <w:p w14:paraId="0008F0D9"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highlight w:val="white"/>
        </w:rPr>
        <w:t xml:space="preserve">SANCHEZ CAMPO, J. R., &amp; </w:t>
      </w:r>
      <w:proofErr w:type="spellStart"/>
      <w:r>
        <w:rPr>
          <w:rFonts w:ascii="Times New Roman" w:eastAsia="Times New Roman" w:hAnsi="Times New Roman" w:cs="Times New Roman"/>
          <w:sz w:val="18"/>
          <w:szCs w:val="18"/>
          <w:highlight w:val="white"/>
        </w:rPr>
        <w:t>Rodelo</w:t>
      </w:r>
      <w:proofErr w:type="spellEnd"/>
      <w:r>
        <w:rPr>
          <w:rFonts w:ascii="Times New Roman" w:eastAsia="Times New Roman" w:hAnsi="Times New Roman" w:cs="Times New Roman"/>
          <w:sz w:val="18"/>
          <w:szCs w:val="18"/>
          <w:highlight w:val="white"/>
        </w:rPr>
        <w:t xml:space="preserve"> Molina, M. K. (2022). ENFOQUE STEAM, INTEGRACIÓN DE LAS CIENCIAS PARA EL DESARROLLO DE LA EDUCACIÓN RURAL. </w:t>
      </w:r>
      <w:r>
        <w:rPr>
          <w:rFonts w:ascii="Times New Roman" w:eastAsia="Times New Roman" w:hAnsi="Times New Roman" w:cs="Times New Roman"/>
          <w:i/>
          <w:sz w:val="18"/>
          <w:szCs w:val="18"/>
          <w:highlight w:val="white"/>
        </w:rPr>
        <w:t xml:space="preserve">Acta </w:t>
      </w:r>
      <w:proofErr w:type="spellStart"/>
      <w:r>
        <w:rPr>
          <w:rFonts w:ascii="Times New Roman" w:eastAsia="Times New Roman" w:hAnsi="Times New Roman" w:cs="Times New Roman"/>
          <w:i/>
          <w:sz w:val="18"/>
          <w:szCs w:val="18"/>
          <w:highlight w:val="white"/>
        </w:rPr>
        <w:t>ScientiÆ</w:t>
      </w:r>
      <w:proofErr w:type="spellEnd"/>
      <w:r>
        <w:rPr>
          <w:rFonts w:ascii="Times New Roman" w:eastAsia="Times New Roman" w:hAnsi="Times New Roman" w:cs="Times New Roman"/>
          <w:i/>
          <w:sz w:val="18"/>
          <w:szCs w:val="18"/>
          <w:highlight w:val="white"/>
        </w:rPr>
        <w:t xml:space="preserve"> </w:t>
      </w:r>
      <w:proofErr w:type="spellStart"/>
      <w:r>
        <w:rPr>
          <w:rFonts w:ascii="Times New Roman" w:eastAsia="Times New Roman" w:hAnsi="Times New Roman" w:cs="Times New Roman"/>
          <w:i/>
          <w:sz w:val="18"/>
          <w:szCs w:val="18"/>
          <w:highlight w:val="white"/>
        </w:rPr>
        <w:t>InformaticÆ</w:t>
      </w:r>
      <w:proofErr w:type="spellEnd"/>
      <w:r>
        <w:rPr>
          <w:rFonts w:ascii="Times New Roman" w:eastAsia="Times New Roman" w:hAnsi="Times New Roman" w:cs="Times New Roman"/>
          <w:sz w:val="18"/>
          <w:szCs w:val="18"/>
          <w:highlight w:val="white"/>
        </w:rPr>
        <w:t xml:space="preserve">, </w:t>
      </w:r>
      <w:r>
        <w:rPr>
          <w:rFonts w:ascii="Times New Roman" w:eastAsia="Times New Roman" w:hAnsi="Times New Roman" w:cs="Times New Roman"/>
          <w:i/>
          <w:sz w:val="18"/>
          <w:szCs w:val="18"/>
          <w:highlight w:val="white"/>
        </w:rPr>
        <w:t>5</w:t>
      </w:r>
      <w:r>
        <w:rPr>
          <w:rFonts w:ascii="Times New Roman" w:eastAsia="Times New Roman" w:hAnsi="Times New Roman" w:cs="Times New Roman"/>
          <w:sz w:val="18"/>
          <w:szCs w:val="18"/>
          <w:highlight w:val="white"/>
        </w:rPr>
        <w:t xml:space="preserve">(5), 5. </w:t>
      </w:r>
      <w:hyperlink r:id="rId21">
        <w:r>
          <w:rPr>
            <w:rFonts w:ascii="Times New Roman" w:eastAsia="Times New Roman" w:hAnsi="Times New Roman" w:cs="Times New Roman"/>
            <w:sz w:val="18"/>
            <w:szCs w:val="18"/>
            <w:highlight w:val="white"/>
          </w:rPr>
          <w:t>https://revistas.unicordoba.edu.co/index.php/asinf/article/view/2721</w:t>
        </w:r>
      </w:hyperlink>
    </w:p>
  </w:footnote>
  <w:footnote w:id="42">
    <w:p w14:paraId="720C69BB"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Sanabria-Rangel, P.&amp; Ospina-Díaz, M. (2023). Enfoque STEAM en la educación superior colombiana frente a la cuarta revolución. Educación y Humanismo, 25(45), pp. 1-34. https://doi.org/10.17081/eduhum.25.45.6152 </w:t>
      </w:r>
    </w:p>
  </w:footnote>
  <w:footnote w:id="43">
    <w:p w14:paraId="61410DEA"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Semana (enero 16 de 2020). ¿Por qué caen las matrículas en las Universidades de Colombia? https://www.semana.com/educacion/articulo/por-que-caen-las-matriculas-en-lasuniversidades-en-colombia/648207/</w:t>
      </w:r>
    </w:p>
  </w:footnote>
  <w:footnote w:id="44">
    <w:p w14:paraId="17BFAF8A"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El Tiempo (octubre 7 de 2022). La educación en Colombia está en crisis. https://www.eltiempo.com/vida/educacion/la-educacion-en-colombia-esta-en-crisisalejandro-gaviria-mineducacion-707923</w:t>
      </w:r>
    </w:p>
  </w:footnote>
  <w:footnote w:id="45">
    <w:p w14:paraId="2FBDF955"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Cano, C., Montes Bermúdez, D. y Díaz Arango, V. (2021). Experiencias STEM+H en instituciones educativas de Medellín: factores que prevalecen en su implementación. Sociología y tecnociencia: Revista digital de sociología del sistema tecnocientífico, 11(1), 1-22. https:// doi.org/10.24197/st.Extra_1.2021</w:t>
      </w:r>
    </w:p>
  </w:footnote>
  <w:footnote w:id="46">
    <w:p w14:paraId="2612EE33" w14:textId="77777777" w:rsidR="00A615A6" w:rsidRDefault="00A92D00">
      <w:pPr>
        <w:pBdr>
          <w:top w:val="nil"/>
          <w:left w:val="nil"/>
          <w:bottom w:val="nil"/>
          <w:right w:val="nil"/>
          <w:between w:val="nil"/>
        </w:pBd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(Columbia </w:t>
      </w:r>
      <w:proofErr w:type="spellStart"/>
      <w:r>
        <w:rPr>
          <w:rFonts w:ascii="Times New Roman" w:eastAsia="Times New Roman" w:hAnsi="Times New Roman" w:cs="Times New Roman"/>
          <w:sz w:val="18"/>
          <w:szCs w:val="18"/>
        </w:rPr>
        <w:t>College</w:t>
      </w:r>
      <w:proofErr w:type="spellEnd"/>
      <w:r>
        <w:rPr>
          <w:rFonts w:ascii="Times New Roman" w:eastAsia="Times New Roman" w:hAnsi="Times New Roman" w:cs="Times New Roman"/>
          <w:sz w:val="18"/>
          <w:szCs w:val="18"/>
        </w:rPr>
        <w:t xml:space="preserve"> Chicago, 2017)Iniciativa </w:t>
      </w:r>
      <w:proofErr w:type="spellStart"/>
      <w:r>
        <w:rPr>
          <w:rFonts w:ascii="Times New Roman" w:eastAsia="Times New Roman" w:hAnsi="Times New Roman" w:cs="Times New Roman"/>
          <w:sz w:val="18"/>
          <w:szCs w:val="18"/>
        </w:rPr>
        <w:t>STEAM_Pasca</w:t>
      </w:r>
      <w:proofErr w:type="spellEnd"/>
      <w:r>
        <w:rPr>
          <w:rFonts w:ascii="Times New Roman" w:eastAsia="Times New Roman" w:hAnsi="Times New Roman" w:cs="Times New Roman"/>
          <w:sz w:val="18"/>
          <w:szCs w:val="18"/>
        </w:rPr>
        <w:t xml:space="preserve"> rural: Una colaboración internacional para el desarrollo de metodologías STEAM en áreas rurales. https://recursos.educoas.org/sites/default/files/5002.pdf</w:t>
      </w:r>
    </w:p>
  </w:footnote>
  <w:footnote w:id="47">
    <w:p w14:paraId="3F48D678"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Secretaria de Educación. (2021). </w:t>
      </w:r>
      <w:r>
        <w:rPr>
          <w:rFonts w:ascii="Times New Roman" w:eastAsia="Times New Roman" w:hAnsi="Times New Roman" w:cs="Times New Roman"/>
          <w:i/>
          <w:sz w:val="18"/>
          <w:szCs w:val="18"/>
        </w:rPr>
        <w:t>Bogotá es declarada territorio STEM</w:t>
      </w:r>
      <w:r>
        <w:rPr>
          <w:rFonts w:ascii="Times New Roman" w:eastAsia="Times New Roman" w:hAnsi="Times New Roman" w:cs="Times New Roman"/>
          <w:sz w:val="18"/>
          <w:szCs w:val="18"/>
        </w:rPr>
        <w:t>. https://www.educacionbogota.edu.co/portal_institucional/noticia/pacto-historico-bogota-es-declarada-territorio-stem</w:t>
      </w:r>
    </w:p>
  </w:footnote>
  <w:footnote w:id="48">
    <w:p w14:paraId="68589F6B" w14:textId="77777777" w:rsidR="00A615A6" w:rsidRDefault="00A92D00">
      <w:pPr>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Idem</w:t>
      </w:r>
      <w:proofErr w:type="spellEnd"/>
      <w:r>
        <w:rPr>
          <w:rFonts w:ascii="Times New Roman" w:eastAsia="Times New Roman" w:hAnsi="Times New Roman" w:cs="Times New Roman"/>
          <w:sz w:val="18"/>
          <w:szCs w:val="18"/>
        </w:rPr>
        <w:t>.</w:t>
      </w:r>
    </w:p>
  </w:footnote>
  <w:footnote w:id="49">
    <w:p w14:paraId="2AE8C64E"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Ministerio de Educación Nacional. (2021). Informe sobre la capacitación de docentes en ciencia, tecnología, ingeniería, arte y matemáticas (STEM) en Colombia. Recuperado de https://www.mineducacion.gov.co/portal/salaprensa/Noticias/410966%3AGobierno-nacional-lanza-Ruta-Stem-2022-para-fortalecer-las-capacidades-de-docentes-y-estudiantes-del-pais-en-tecnologia-ciencia-ingenieria-y-matematicas</w:t>
      </w:r>
    </w:p>
  </w:footnote>
  <w:footnote w:id="50">
    <w:p w14:paraId="3F0C7088"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La República. (2022). El sector de los videojuegos en Colombia: Ingresos y exportaciones. Recuperado de </w:t>
      </w:r>
      <w:hyperlink r:id="rId22">
        <w:r>
          <w:rPr>
            <w:rFonts w:ascii="Times New Roman" w:eastAsia="Times New Roman" w:hAnsi="Times New Roman" w:cs="Times New Roman"/>
            <w:sz w:val="18"/>
            <w:szCs w:val="18"/>
          </w:rPr>
          <w:t>https://www.larepublica.co/especiales/colombia-gamer/en-el-pais-hay-80-empresas-que-desarrollan-juegos-3677782</w:t>
        </w:r>
      </w:hyperlink>
      <w:r>
        <w:rPr>
          <w:rFonts w:ascii="Times New Roman" w:eastAsia="Times New Roman" w:hAnsi="Times New Roman" w:cs="Times New Roman"/>
          <w:sz w:val="18"/>
          <w:szCs w:val="18"/>
        </w:rPr>
        <w:t xml:space="preserve"> </w:t>
      </w:r>
    </w:p>
  </w:footnote>
  <w:footnote w:id="51">
    <w:p w14:paraId="5B45F536"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Banco Interamericano de Desarrollo (BID). (2021). Industrias creativas en América Latina: Impacto y crecimiento económico. Recuperado de </w:t>
      </w:r>
      <w:hyperlink r:id="rId23">
        <w:r>
          <w:rPr>
            <w:rFonts w:ascii="Times New Roman" w:eastAsia="Times New Roman" w:hAnsi="Times New Roman" w:cs="Times New Roman"/>
            <w:sz w:val="18"/>
            <w:szCs w:val="18"/>
          </w:rPr>
          <w:t>https://blogs.iadb.org/trabajo/es/stem-steam-el-sector-que-necesita-mas-mujeres/</w:t>
        </w:r>
      </w:hyperlink>
      <w:r>
        <w:rPr>
          <w:rFonts w:ascii="Times New Roman" w:eastAsia="Times New Roman" w:hAnsi="Times New Roman" w:cs="Times New Roman"/>
          <w:sz w:val="18"/>
          <w:szCs w:val="18"/>
        </w:rPr>
        <w:t xml:space="preserve"> </w:t>
      </w:r>
    </w:p>
  </w:footnote>
  <w:footnote w:id="52">
    <w:p w14:paraId="25DCF05C" w14:textId="77777777" w:rsidR="00A615A6" w:rsidRDefault="00A92D00">
      <w:pPr>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Banco Interamericano de Desarrollo (BID). (2023). La tecnología como motor de desarrollo en Bogotá. Recuperado de https://blogs.iadb.org/trabajo/es/stem-steam-el-sector-que-necesita-mas-mujeres/ . </w:t>
      </w:r>
    </w:p>
  </w:footnote>
  <w:footnote w:id="53">
    <w:p w14:paraId="27FDC7CC"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Alcaldía Mayor de Bogotá. (2020). Informe sobre la inversión en infraestructura educativa en Bogotá. Recuperado de </w:t>
      </w:r>
      <w:hyperlink r:id="rId24">
        <w:r>
          <w:rPr>
            <w:rFonts w:ascii="Times New Roman" w:eastAsia="Times New Roman" w:hAnsi="Times New Roman" w:cs="Times New Roman"/>
            <w:sz w:val="18"/>
            <w:szCs w:val="18"/>
          </w:rPr>
          <w:t>https://www.sdp.gov.co/sites/default/files/informacion-institucional/inversion-educacion-2020.pdf</w:t>
        </w:r>
      </w:hyperlink>
      <w:r>
        <w:rPr>
          <w:rFonts w:ascii="Times New Roman" w:eastAsia="Times New Roman" w:hAnsi="Times New Roman" w:cs="Times New Roman"/>
          <w:sz w:val="18"/>
          <w:szCs w:val="18"/>
        </w:rPr>
        <w:t xml:space="preserve"> </w:t>
      </w:r>
    </w:p>
  </w:footnote>
  <w:footnote w:id="54">
    <w:p w14:paraId="4DE6B6CC"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Observatorio Laboral para la Educación (OLE). (2022). El crecimiento del empleo en el sector tecnológico de Bogotá. Recuperado de </w:t>
      </w:r>
      <w:hyperlink r:id="rId25">
        <w:r>
          <w:rPr>
            <w:rFonts w:ascii="Times New Roman" w:eastAsia="Times New Roman" w:hAnsi="Times New Roman" w:cs="Times New Roman"/>
            <w:sz w:val="18"/>
            <w:szCs w:val="18"/>
          </w:rPr>
          <w:t>https://www.ole.gov.co/empleo-tecnologico-bogota-2022</w:t>
        </w:r>
      </w:hyperlink>
      <w:r>
        <w:rPr>
          <w:rFonts w:ascii="Times New Roman" w:eastAsia="Times New Roman" w:hAnsi="Times New Roman" w:cs="Times New Roman"/>
          <w:sz w:val="18"/>
          <w:szCs w:val="18"/>
        </w:rPr>
        <w:t xml:space="preserve"> </w:t>
      </w:r>
    </w:p>
  </w:footnote>
  <w:footnote w:id="55">
    <w:p w14:paraId="26FF9A36"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18"/>
          <w:szCs w:val="18"/>
        </w:rPr>
        <w:t xml:space="preserve"> </w:t>
      </w:r>
      <w:r>
        <w:rPr>
          <w:rFonts w:ascii="Times New Roman" w:eastAsia="Times New Roman" w:hAnsi="Times New Roman" w:cs="Times New Roman"/>
          <w:sz w:val="18"/>
          <w:szCs w:val="18"/>
        </w:rPr>
        <w:t xml:space="preserve">Fundación Corona. (2022). </w:t>
      </w:r>
      <w:r>
        <w:rPr>
          <w:rFonts w:ascii="Times New Roman" w:eastAsia="Times New Roman" w:hAnsi="Times New Roman" w:cs="Times New Roman"/>
          <w:i/>
          <w:sz w:val="18"/>
          <w:szCs w:val="18"/>
        </w:rPr>
        <w:t>1 de cada 2 jóvenes en Colombia no estudian, ni trabajan o se encuentran en la informalidad</w:t>
      </w:r>
      <w:r>
        <w:rPr>
          <w:rFonts w:ascii="Times New Roman" w:eastAsia="Times New Roman" w:hAnsi="Times New Roman" w:cs="Times New Roman"/>
          <w:sz w:val="18"/>
          <w:szCs w:val="18"/>
        </w:rPr>
        <w:t>. https://www.fundacioncorona.org/es/biblioteca/blog/1-de-cada-2-jovenes-en-colombia-no-estudian-ni-trabajan-o-se-encuentran-en-la</w:t>
      </w:r>
    </w:p>
  </w:footnote>
  <w:footnote w:id="56">
    <w:p w14:paraId="36CBC4E3" w14:textId="77777777" w:rsidR="00A615A6" w:rsidRDefault="00A92D00">
      <w:pPr>
        <w:jc w:val="both"/>
        <w:rPr>
          <w:rFonts w:ascii="Times New Roman" w:eastAsia="Times New Roman" w:hAnsi="Times New Roman" w:cs="Times New Roman"/>
          <w:sz w:val="16"/>
          <w:szCs w:val="16"/>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UNIVERSIDAD DISTRITAL FRANCISCO JOSÉ DE CALDAS. (2021). </w:t>
      </w:r>
      <w:r>
        <w:rPr>
          <w:rFonts w:ascii="Times New Roman" w:eastAsia="Times New Roman" w:hAnsi="Times New Roman" w:cs="Times New Roman"/>
          <w:i/>
          <w:sz w:val="18"/>
          <w:szCs w:val="18"/>
        </w:rPr>
        <w:t>DESARROLLO DE LAS HABILIDADES BLANDAS: TRABAJO EN EQUIPO Y ALTERIDAD, A TRAVÉS DE LA ATE ORGANISMOS GENÉTICAMENTE MODIFICADOS CON ESTUDIANTES DE GRADO NOVENO DEL COLEGIO SAN LUCAS (BOGOTÁ – COLOMBIA)</w:t>
      </w:r>
      <w:r>
        <w:rPr>
          <w:rFonts w:ascii="Times New Roman" w:eastAsia="Times New Roman" w:hAnsi="Times New Roman" w:cs="Times New Roman"/>
          <w:sz w:val="18"/>
          <w:szCs w:val="18"/>
        </w:rPr>
        <w:t>. https://repository.udistrital.edu.co/server/api/core/bitstreams/b4869488-8f4b-48cb-94a9-ad4e5dfafed9/content</w:t>
      </w:r>
    </w:p>
  </w:footnote>
  <w:footnote w:id="57">
    <w:p w14:paraId="424D05F1" w14:textId="77777777" w:rsidR="00A615A6" w:rsidRDefault="00A92D00">
      <w:pPr>
        <w:jc w:val="both"/>
        <w:rPr>
          <w:sz w:val="16"/>
          <w:szCs w:val="16"/>
        </w:rPr>
      </w:pPr>
      <w:r>
        <w:rPr>
          <w:vertAlign w:val="superscript"/>
        </w:rPr>
        <w:footnoteRef/>
      </w:r>
      <w:r>
        <w:rPr>
          <w:sz w:val="20"/>
          <w:szCs w:val="20"/>
        </w:rPr>
        <w:t xml:space="preserve"> </w:t>
      </w:r>
      <w:r>
        <w:rPr>
          <w:sz w:val="18"/>
          <w:szCs w:val="18"/>
        </w:rPr>
        <w:t xml:space="preserve">Secretaria de Educación. (2022). </w:t>
      </w:r>
      <w:r>
        <w:rPr>
          <w:i/>
          <w:sz w:val="18"/>
          <w:szCs w:val="18"/>
        </w:rPr>
        <w:t>Más de 250 colegios distritales están revolucionando sus aulas con el enfoque STEM</w:t>
      </w:r>
      <w:r>
        <w:rPr>
          <w:sz w:val="18"/>
          <w:szCs w:val="18"/>
        </w:rPr>
        <w:t>. https://www.educacionbogota.edu.co/portal_institucional/noticia/mas-de-250-colegios-distritales-estan-revolucionando-sus-aulas-con-el-enfoque-stem</w:t>
      </w:r>
    </w:p>
  </w:footnote>
  <w:footnote w:id="58">
    <w:p w14:paraId="1FE9C159"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Secretaria de Educación. (2021). </w:t>
      </w:r>
      <w:r>
        <w:rPr>
          <w:rFonts w:ascii="Times New Roman" w:eastAsia="Times New Roman" w:hAnsi="Times New Roman" w:cs="Times New Roman"/>
          <w:i/>
          <w:sz w:val="18"/>
          <w:szCs w:val="18"/>
        </w:rPr>
        <w:t>Bogotá presenta la política educativa rural: una apuesta para cerrar brechas entre el campo y la ciudad</w:t>
      </w:r>
      <w:r>
        <w:rPr>
          <w:rFonts w:ascii="Times New Roman" w:eastAsia="Times New Roman" w:hAnsi="Times New Roman" w:cs="Times New Roman"/>
          <w:sz w:val="18"/>
          <w:szCs w:val="18"/>
        </w:rPr>
        <w:t>. https://www.educacionbogota.edu.co/portal_institucional/noticia/bogota-presenta-la-politica-educativa-rural-una-apuesta-para-cerrar-brechas-entre-el-campo</w:t>
      </w:r>
    </w:p>
  </w:footnote>
  <w:footnote w:id="59">
    <w:p w14:paraId="65AB4228" w14:textId="77777777" w:rsidR="00A615A6" w:rsidRDefault="00A92D00">
      <w:pPr>
        <w:jc w:val="both"/>
        <w:rPr>
          <w:rFonts w:ascii="Times New Roman" w:eastAsia="Times New Roman" w:hAnsi="Times New Roman" w:cs="Times New Roman"/>
          <w:sz w:val="16"/>
          <w:szCs w:val="16"/>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Fundación Corona. (2022). </w:t>
      </w:r>
      <w:r>
        <w:rPr>
          <w:rFonts w:ascii="Times New Roman" w:eastAsia="Times New Roman" w:hAnsi="Times New Roman" w:cs="Times New Roman"/>
          <w:i/>
          <w:sz w:val="18"/>
          <w:szCs w:val="18"/>
        </w:rPr>
        <w:t>1 de cada 2 jóvenes en Colombia no estudian, ni trabajan o se encuentran en la informalidad</w:t>
      </w:r>
      <w:r>
        <w:rPr>
          <w:rFonts w:ascii="Times New Roman" w:eastAsia="Times New Roman" w:hAnsi="Times New Roman" w:cs="Times New Roman"/>
          <w:sz w:val="18"/>
          <w:szCs w:val="18"/>
        </w:rPr>
        <w:t>. https://www.fundacioncorona.org/es/biblioteca/blog/1-de-cada-2-jovenes-en-colombia-no-estudian-ni-trabajan-o-se-encuentran-en-la</w:t>
      </w:r>
    </w:p>
  </w:footnote>
  <w:footnote w:id="60">
    <w:p w14:paraId="7615D5AA"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RA 2.0. (2023). </w:t>
      </w:r>
      <w:r>
        <w:rPr>
          <w:rFonts w:ascii="Times New Roman" w:eastAsia="Times New Roman" w:hAnsi="Times New Roman" w:cs="Times New Roman"/>
          <w:i/>
          <w:sz w:val="18"/>
          <w:szCs w:val="18"/>
        </w:rPr>
        <w:t>Educar con impacto: un compromiso de Bogotá Territorio STEM</w:t>
      </w:r>
      <w:r>
        <w:rPr>
          <w:rFonts w:ascii="Times New Roman" w:eastAsia="Times New Roman" w:hAnsi="Times New Roman" w:cs="Times New Roman"/>
          <w:sz w:val="18"/>
          <w:szCs w:val="18"/>
        </w:rPr>
        <w:t>. RA 2.0. https://www.redacademica.edu.co/educar-con-impacto-un-compromiso-de-bogota-territorio-stem</w:t>
      </w:r>
    </w:p>
  </w:footnote>
  <w:footnote w:id="61">
    <w:p w14:paraId="3EB2D27E"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Secretaria de Educación Bogotá. (2024). Inician las Olimpiadas STEM 2024 en los colegios distritales de Bogotá. https://bogota.gov.co/mi-ciudad/educacion/olimpiadas-stem-2024-inician-en-los-colegios-publicos-de-bogota</w:t>
      </w:r>
    </w:p>
  </w:footnote>
  <w:footnote w:id="62">
    <w:p w14:paraId="6D420FCD"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Economía y Desarrollo. (2024). </w:t>
      </w:r>
      <w:r>
        <w:rPr>
          <w:rFonts w:ascii="Times New Roman" w:eastAsia="Times New Roman" w:hAnsi="Times New Roman" w:cs="Times New Roman"/>
          <w:i/>
          <w:sz w:val="18"/>
          <w:szCs w:val="18"/>
        </w:rPr>
        <w:t xml:space="preserve">Innovador </w:t>
      </w:r>
      <w:proofErr w:type="spellStart"/>
      <w:r>
        <w:rPr>
          <w:rFonts w:ascii="Times New Roman" w:eastAsia="Times New Roman" w:hAnsi="Times New Roman" w:cs="Times New Roman"/>
          <w:i/>
          <w:sz w:val="18"/>
          <w:szCs w:val="18"/>
        </w:rPr>
        <w:t>bootcamp</w:t>
      </w:r>
      <w:proofErr w:type="spellEnd"/>
      <w:r>
        <w:rPr>
          <w:rFonts w:ascii="Times New Roman" w:eastAsia="Times New Roman" w:hAnsi="Times New Roman" w:cs="Times New Roman"/>
          <w:i/>
          <w:sz w:val="18"/>
          <w:szCs w:val="18"/>
        </w:rPr>
        <w:t xml:space="preserve"> capacitó a 20 niñas colombianas en áreas STEAM</w:t>
      </w:r>
      <w:r>
        <w:rPr>
          <w:rFonts w:ascii="Times New Roman" w:eastAsia="Times New Roman" w:hAnsi="Times New Roman" w:cs="Times New Roman"/>
          <w:sz w:val="18"/>
          <w:szCs w:val="18"/>
        </w:rPr>
        <w:t>. https://economiaydesarrollo.com/2024/11/10/innovador-bootcamp-capacito-a-20-ninas-colombianas-en-areas-steam/</w:t>
      </w:r>
    </w:p>
  </w:footnote>
  <w:footnote w:id="63">
    <w:p w14:paraId="1A65181F" w14:textId="77777777" w:rsidR="00A615A6" w:rsidRDefault="00A92D00">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Universidad Nacional de Colombia – Sede Bogotá. (2020). </w:t>
      </w:r>
      <w:r>
        <w:rPr>
          <w:rFonts w:ascii="Times New Roman" w:eastAsia="Times New Roman" w:hAnsi="Times New Roman" w:cs="Times New Roman"/>
          <w:i/>
          <w:sz w:val="18"/>
          <w:szCs w:val="18"/>
        </w:rPr>
        <w:t>STEAM, sociedad y extensión universitaria en Colombia: Una propuesta preliminar desde el Buen Vivir</w:t>
      </w:r>
      <w:r>
        <w:rPr>
          <w:rFonts w:ascii="Times New Roman" w:eastAsia="Times New Roman" w:hAnsi="Times New Roman" w:cs="Times New Roman"/>
          <w:sz w:val="18"/>
          <w:szCs w:val="18"/>
        </w:rPr>
        <w:t>. https://dialnet.unirioja.es/descarga/articulo/7845276.pdf</w:t>
      </w:r>
    </w:p>
  </w:footnote>
  <w:footnote w:id="64">
    <w:p w14:paraId="335B1F6D"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Reina-Rozo, J. D., y Ortiz, J. (2019). Local </w:t>
      </w:r>
      <w:proofErr w:type="spellStart"/>
      <w:r>
        <w:rPr>
          <w:rFonts w:ascii="Times New Roman" w:eastAsia="Times New Roman" w:hAnsi="Times New Roman" w:cs="Times New Roman"/>
          <w:sz w:val="18"/>
          <w:szCs w:val="18"/>
        </w:rPr>
        <w:t>Innovation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Ecosystems</w:t>
      </w:r>
      <w:proofErr w:type="spellEnd"/>
      <w:r>
        <w:rPr>
          <w:rFonts w:ascii="Times New Roman" w:eastAsia="Times New Roman" w:hAnsi="Times New Roman" w:cs="Times New Roman"/>
          <w:sz w:val="18"/>
          <w:szCs w:val="18"/>
        </w:rPr>
        <w:t xml:space="preserve"> to </w:t>
      </w:r>
      <w:proofErr w:type="spellStart"/>
      <w:r>
        <w:rPr>
          <w:rFonts w:ascii="Times New Roman" w:eastAsia="Times New Roman" w:hAnsi="Times New Roman" w:cs="Times New Roman"/>
          <w:sz w:val="18"/>
          <w:szCs w:val="18"/>
        </w:rPr>
        <w:t>Strengthen</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Agroecology</w:t>
      </w:r>
      <w:proofErr w:type="spellEnd"/>
      <w:r>
        <w:rPr>
          <w:rFonts w:ascii="Times New Roman" w:eastAsia="Times New Roman" w:hAnsi="Times New Roman" w:cs="Times New Roman"/>
          <w:sz w:val="18"/>
          <w:szCs w:val="18"/>
        </w:rPr>
        <w:t xml:space="preserve"> in Colombia: </w:t>
      </w:r>
      <w:proofErr w:type="spellStart"/>
      <w:r>
        <w:rPr>
          <w:rFonts w:ascii="Times New Roman" w:eastAsia="Times New Roman" w:hAnsi="Times New Roman" w:cs="Times New Roman"/>
          <w:sz w:val="18"/>
          <w:szCs w:val="18"/>
        </w:rPr>
        <w:t>The</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Preliminary</w:t>
      </w:r>
      <w:proofErr w:type="spellEnd"/>
      <w:r>
        <w:rPr>
          <w:rFonts w:ascii="Times New Roman" w:eastAsia="Times New Roman" w:hAnsi="Times New Roman" w:cs="Times New Roman"/>
          <w:sz w:val="18"/>
          <w:szCs w:val="18"/>
        </w:rPr>
        <w:t xml:space="preserve"> Case of </w:t>
      </w:r>
      <w:proofErr w:type="spellStart"/>
      <w:r>
        <w:rPr>
          <w:rFonts w:ascii="Times New Roman" w:eastAsia="Times New Roman" w:hAnsi="Times New Roman" w:cs="Times New Roman"/>
          <w:sz w:val="18"/>
          <w:szCs w:val="18"/>
        </w:rPr>
        <w:t>LabCampesino</w:t>
      </w:r>
      <w:proofErr w:type="spellEnd"/>
      <w:r>
        <w:rPr>
          <w:rFonts w:ascii="Times New Roman" w:eastAsia="Times New Roman" w:hAnsi="Times New Roman" w:cs="Times New Roman"/>
          <w:sz w:val="18"/>
          <w:szCs w:val="18"/>
        </w:rPr>
        <w:t xml:space="preserve"> of Tierra Libre. Social </w:t>
      </w:r>
      <w:proofErr w:type="spellStart"/>
      <w:r>
        <w:rPr>
          <w:rFonts w:ascii="Times New Roman" w:eastAsia="Times New Roman" w:hAnsi="Times New Roman" w:cs="Times New Roman"/>
          <w:sz w:val="18"/>
          <w:szCs w:val="18"/>
        </w:rPr>
        <w:t>Innovations</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Journal</w:t>
      </w:r>
      <w:proofErr w:type="spellEnd"/>
      <w:r>
        <w:rPr>
          <w:rFonts w:ascii="Times New Roman" w:eastAsia="Times New Roman" w:hAnsi="Times New Roman" w:cs="Times New Roman"/>
          <w:sz w:val="18"/>
          <w:szCs w:val="18"/>
        </w:rPr>
        <w:t xml:space="preserve">, 53, 1–9. </w:t>
      </w:r>
    </w:p>
  </w:footnote>
  <w:footnote w:id="65">
    <w:p w14:paraId="49D15AFC" w14:textId="77777777" w:rsidR="00A615A6" w:rsidRDefault="00A92D00">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Alcaldía Mayor de Bogotá. (2022). </w:t>
      </w:r>
      <w:r>
        <w:rPr>
          <w:rFonts w:ascii="Times New Roman" w:eastAsia="Times New Roman" w:hAnsi="Times New Roman" w:cs="Times New Roman"/>
          <w:i/>
          <w:sz w:val="18"/>
          <w:szCs w:val="18"/>
        </w:rPr>
        <w:t>Manual de Técnica Normativa Distrital: Política de Gobernanza Regulatoria Distrital</w:t>
      </w:r>
      <w:r>
        <w:rPr>
          <w:rFonts w:ascii="Times New Roman" w:eastAsia="Times New Roman" w:hAnsi="Times New Roman" w:cs="Times New Roman"/>
          <w:sz w:val="18"/>
          <w:szCs w:val="18"/>
        </w:rPr>
        <w:t>. Recuperado de</w:t>
      </w:r>
      <w:hyperlink r:id="rId26">
        <w:r>
          <w:rPr>
            <w:rFonts w:ascii="Times New Roman" w:eastAsia="Times New Roman" w:hAnsi="Times New Roman" w:cs="Times New Roman"/>
            <w:sz w:val="18"/>
            <w:szCs w:val="18"/>
          </w:rPr>
          <w:t xml:space="preserve"> </w:t>
        </w:r>
      </w:hyperlink>
      <w:hyperlink r:id="rId27">
        <w:r>
          <w:rPr>
            <w:rFonts w:ascii="Times New Roman" w:eastAsia="Times New Roman" w:hAnsi="Times New Roman" w:cs="Times New Roman"/>
            <w:color w:val="1155CC"/>
            <w:sz w:val="18"/>
            <w:szCs w:val="18"/>
            <w:u w:val="single"/>
          </w:rPr>
          <w:t>https://www.alcaldiabogota.gov.co</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
      <w:tblpPr w:leftFromText="180" w:rightFromText="180" w:topFromText="180" w:bottomFromText="180" w:vertAnchor="text"/>
      <w:tblW w:w="88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0"/>
      <w:gridCol w:w="4215"/>
      <w:gridCol w:w="2235"/>
    </w:tblGrid>
    <w:tr w:rsidR="00A615A6" w14:paraId="3A95A7F4" w14:textId="77777777">
      <w:trPr>
        <w:trHeight w:val="454"/>
      </w:trPr>
      <w:tc>
        <w:tcPr>
          <w:tcW w:w="2370"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52AAC5" w14:textId="77777777" w:rsidR="00A615A6" w:rsidRDefault="00A92D00">
          <w:pPr>
            <w:spacing w:line="360" w:lineRule="auto"/>
            <w:ind w:right="-504"/>
            <w:jc w:val="center"/>
            <w:rPr>
              <w:sz w:val="16"/>
              <w:szCs w:val="16"/>
            </w:rPr>
          </w:pPr>
          <w:r>
            <w:rPr>
              <w:noProof/>
              <w:sz w:val="16"/>
              <w:szCs w:val="16"/>
              <w:lang w:val="es-CO"/>
            </w:rPr>
            <w:drawing>
              <wp:inline distT="0" distB="0" distL="0" distR="0" wp14:anchorId="3582F3EC" wp14:editId="7BD462D9">
                <wp:extent cx="749935" cy="883920"/>
                <wp:effectExtent l="0" t="0" r="0" b="0"/>
                <wp:docPr id="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49935" cy="883920"/>
                        </a:xfrm>
                        <a:prstGeom prst="rect">
                          <a:avLst/>
                        </a:prstGeom>
                        <a:ln/>
                      </pic:spPr>
                    </pic:pic>
                  </a:graphicData>
                </a:graphic>
              </wp:inline>
            </w:drawing>
          </w:r>
        </w:p>
      </w:tc>
      <w:tc>
        <w:tcPr>
          <w:tcW w:w="421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6E253A" w14:textId="77777777" w:rsidR="00A615A6" w:rsidRDefault="00A92D00">
          <w:pPr>
            <w:spacing w:line="360" w:lineRule="auto"/>
            <w:ind w:right="-504"/>
            <w:jc w:val="both"/>
            <w:rPr>
              <w:sz w:val="16"/>
              <w:szCs w:val="16"/>
            </w:rPr>
          </w:pPr>
          <w:r>
            <w:rPr>
              <w:sz w:val="16"/>
              <w:szCs w:val="16"/>
            </w:rPr>
            <w:t>PROCESO GESTIÓN NORMATIVA</w:t>
          </w:r>
        </w:p>
      </w:tc>
      <w:tc>
        <w:tcPr>
          <w:tcW w:w="223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B96FDDC" w14:textId="77777777" w:rsidR="00A615A6" w:rsidRDefault="00A92D00">
          <w:pPr>
            <w:spacing w:line="360" w:lineRule="auto"/>
            <w:ind w:right="-504"/>
            <w:jc w:val="both"/>
            <w:rPr>
              <w:sz w:val="16"/>
              <w:szCs w:val="16"/>
            </w:rPr>
          </w:pPr>
          <w:r>
            <w:rPr>
              <w:sz w:val="16"/>
              <w:szCs w:val="16"/>
            </w:rPr>
            <w:t>CÓDIGO</w:t>
          </w:r>
          <w:r>
            <w:rPr>
              <w:color w:val="3366FF"/>
              <w:sz w:val="16"/>
              <w:szCs w:val="16"/>
            </w:rPr>
            <w:t xml:space="preserve">: </w:t>
          </w:r>
          <w:r>
            <w:rPr>
              <w:sz w:val="16"/>
              <w:szCs w:val="16"/>
            </w:rPr>
            <w:t>GNV-FO-001</w:t>
          </w:r>
        </w:p>
      </w:tc>
    </w:tr>
    <w:tr w:rsidR="00A615A6" w14:paraId="34E31348" w14:textId="77777777">
      <w:trPr>
        <w:trHeight w:val="454"/>
      </w:trPr>
      <w:tc>
        <w:tcPr>
          <w:tcW w:w="2370"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A591CFA" w14:textId="77777777" w:rsidR="00A615A6" w:rsidRDefault="00A615A6">
          <w:pPr>
            <w:widowControl w:val="0"/>
            <w:spacing w:line="360" w:lineRule="auto"/>
            <w:ind w:right="-504"/>
            <w:jc w:val="both"/>
            <w:rPr>
              <w:rFonts w:ascii="Times New Roman" w:eastAsia="Times New Roman" w:hAnsi="Times New Roman" w:cs="Times New Roman"/>
              <w:sz w:val="22"/>
              <w:szCs w:val="22"/>
            </w:rPr>
          </w:pPr>
        </w:p>
      </w:tc>
      <w:tc>
        <w:tcPr>
          <w:tcW w:w="4215"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B9546C" w14:textId="77777777" w:rsidR="00A615A6" w:rsidRDefault="00A92D00">
          <w:pPr>
            <w:spacing w:line="360" w:lineRule="auto"/>
            <w:ind w:right="-504"/>
            <w:jc w:val="both"/>
            <w:rPr>
              <w:sz w:val="16"/>
              <w:szCs w:val="16"/>
            </w:rPr>
          </w:pPr>
          <w:r>
            <w:rPr>
              <w:sz w:val="16"/>
              <w:szCs w:val="16"/>
            </w:rPr>
            <w:t>PRESENTACIÓN PROYECTOS DE ACUERDO</w:t>
          </w:r>
        </w:p>
      </w:tc>
      <w:tc>
        <w:tcPr>
          <w:tcW w:w="223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BE89684" w14:textId="77777777" w:rsidR="00A615A6" w:rsidRDefault="00A92D00">
          <w:pPr>
            <w:spacing w:line="360" w:lineRule="auto"/>
            <w:ind w:right="-891"/>
            <w:jc w:val="both"/>
            <w:rPr>
              <w:sz w:val="16"/>
              <w:szCs w:val="16"/>
            </w:rPr>
          </w:pPr>
          <w:r>
            <w:rPr>
              <w:sz w:val="16"/>
              <w:szCs w:val="16"/>
            </w:rPr>
            <w:t>VERSIÓN:    02</w:t>
          </w:r>
        </w:p>
      </w:tc>
    </w:tr>
    <w:tr w:rsidR="00A615A6" w14:paraId="437F71CE" w14:textId="77777777">
      <w:trPr>
        <w:trHeight w:val="454"/>
      </w:trPr>
      <w:tc>
        <w:tcPr>
          <w:tcW w:w="2370"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6677605" w14:textId="77777777" w:rsidR="00A615A6" w:rsidRDefault="00A615A6">
          <w:pPr>
            <w:widowControl w:val="0"/>
            <w:spacing w:line="360" w:lineRule="auto"/>
            <w:ind w:right="-504"/>
            <w:jc w:val="both"/>
            <w:rPr>
              <w:rFonts w:ascii="Times New Roman" w:eastAsia="Times New Roman" w:hAnsi="Times New Roman" w:cs="Times New Roman"/>
              <w:sz w:val="22"/>
              <w:szCs w:val="22"/>
            </w:rPr>
          </w:pPr>
        </w:p>
      </w:tc>
      <w:tc>
        <w:tcPr>
          <w:tcW w:w="4215"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A274E85" w14:textId="77777777" w:rsidR="00A615A6" w:rsidRDefault="00A615A6">
          <w:pPr>
            <w:widowControl w:val="0"/>
            <w:spacing w:line="360" w:lineRule="auto"/>
            <w:ind w:right="-504"/>
            <w:jc w:val="both"/>
            <w:rPr>
              <w:rFonts w:ascii="Times New Roman" w:eastAsia="Times New Roman" w:hAnsi="Times New Roman" w:cs="Times New Roman"/>
              <w:sz w:val="22"/>
              <w:szCs w:val="22"/>
            </w:rPr>
          </w:pPr>
        </w:p>
      </w:tc>
      <w:tc>
        <w:tcPr>
          <w:tcW w:w="223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FC20B4" w14:textId="77777777" w:rsidR="00A615A6" w:rsidRDefault="00A92D00">
          <w:pPr>
            <w:spacing w:line="360" w:lineRule="auto"/>
            <w:ind w:right="-504"/>
            <w:jc w:val="both"/>
            <w:rPr>
              <w:sz w:val="16"/>
              <w:szCs w:val="16"/>
            </w:rPr>
          </w:pPr>
          <w:r>
            <w:rPr>
              <w:sz w:val="16"/>
              <w:szCs w:val="16"/>
            </w:rPr>
            <w:t>FECHA: 14-Nov-2019</w:t>
          </w:r>
        </w:p>
      </w:tc>
    </w:tr>
  </w:tbl>
  <w:p w14:paraId="607BFF67" w14:textId="77777777" w:rsidR="00A615A6" w:rsidRDefault="00A615A6">
    <w:pPr>
      <w:spacing w:line="360" w:lineRule="auto"/>
      <w:ind w:right="-504"/>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5EC56E2"/>
    <w:multiLevelType w:val="multilevel"/>
    <w:tmpl w:val="B0064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8B25E11"/>
    <w:multiLevelType w:val="multilevel"/>
    <w:tmpl w:val="F3D25E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CB7658B"/>
    <w:multiLevelType w:val="multilevel"/>
    <w:tmpl w:val="9202D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7997734"/>
    <w:multiLevelType w:val="multilevel"/>
    <w:tmpl w:val="9148EF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8756087"/>
    <w:multiLevelType w:val="multilevel"/>
    <w:tmpl w:val="DD8CEE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5A6"/>
    <w:rsid w:val="00046C9A"/>
    <w:rsid w:val="003E1832"/>
    <w:rsid w:val="00677306"/>
    <w:rsid w:val="006B09AF"/>
    <w:rsid w:val="00794C33"/>
    <w:rsid w:val="009F098E"/>
    <w:rsid w:val="00A54EEF"/>
    <w:rsid w:val="00A615A6"/>
    <w:rsid w:val="00A92D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2ADE852"/>
  <w15:docId w15:val="{F6056A67-6A0B-4CFD-8FAA-A7B7286AA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56DA"/>
  </w:style>
  <w:style w:type="paragraph" w:styleId="Ttulo1">
    <w:name w:val="heading 1"/>
    <w:basedOn w:val="Normal"/>
    <w:next w:val="Normal"/>
    <w:link w:val="Ttulo1Car"/>
    <w:uiPriority w:val="9"/>
    <w:qFormat/>
    <w:rsid w:val="004756DA"/>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link w:val="Ttulo2Car"/>
    <w:uiPriority w:val="9"/>
    <w:unhideWhenUsed/>
    <w:qFormat/>
    <w:rsid w:val="004756D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
    <w:rsid w:val="004756DA"/>
    <w:rPr>
      <w:rFonts w:ascii="Times New Roman" w:eastAsia="Times New Roman" w:hAnsi="Times New Roman" w:cs="Times New Roman"/>
      <w:color w:val="000000"/>
      <w:sz w:val="24"/>
      <w:szCs w:val="24"/>
      <w:lang w:val="es-ES" w:eastAsia="es-CO"/>
    </w:rPr>
  </w:style>
  <w:style w:type="paragraph" w:styleId="Textocomentario">
    <w:name w:val="annotation text"/>
    <w:basedOn w:val="Normal"/>
    <w:link w:val="TextocomentarioCar"/>
    <w:uiPriority w:val="99"/>
    <w:semiHidden/>
    <w:unhideWhenUsed/>
    <w:rsid w:val="004756DA"/>
    <w:rPr>
      <w:sz w:val="20"/>
      <w:szCs w:val="20"/>
    </w:rPr>
  </w:style>
  <w:style w:type="character" w:customStyle="1" w:styleId="TextocomentarioCar">
    <w:name w:val="Texto comentario Car"/>
    <w:basedOn w:val="Fuentedeprrafopredeter"/>
    <w:link w:val="Textocomentario"/>
    <w:uiPriority w:val="99"/>
    <w:semiHidden/>
    <w:rsid w:val="004756DA"/>
    <w:rPr>
      <w:rFonts w:ascii="Arial" w:eastAsia="Arial" w:hAnsi="Arial" w:cs="Arial"/>
      <w:sz w:val="20"/>
      <w:szCs w:val="20"/>
      <w:lang w:val="es-ES" w:eastAsia="es-CO"/>
    </w:rPr>
  </w:style>
  <w:style w:type="character" w:styleId="Refdecomentario">
    <w:name w:val="annotation reference"/>
    <w:basedOn w:val="Fuentedeprrafopredeter"/>
    <w:uiPriority w:val="99"/>
    <w:semiHidden/>
    <w:unhideWhenUsed/>
    <w:rsid w:val="004756DA"/>
    <w:rPr>
      <w:sz w:val="16"/>
      <w:szCs w:val="16"/>
    </w:rPr>
  </w:style>
  <w:style w:type="paragraph" w:styleId="Prrafodelista">
    <w:name w:val="List Paragraph"/>
    <w:basedOn w:val="Normal"/>
    <w:uiPriority w:val="34"/>
    <w:qFormat/>
    <w:rsid w:val="004756DA"/>
    <w:pPr>
      <w:ind w:left="720"/>
      <w:contextualSpacing/>
    </w:pPr>
  </w:style>
  <w:style w:type="character" w:customStyle="1" w:styleId="Ttulo2Car">
    <w:name w:val="Título 2 Car"/>
    <w:basedOn w:val="Fuentedeprrafopredeter"/>
    <w:link w:val="Ttulo2"/>
    <w:uiPriority w:val="9"/>
    <w:rsid w:val="004756DA"/>
    <w:rPr>
      <w:rFonts w:asciiTheme="majorHAnsi" w:eastAsiaTheme="majorEastAsia" w:hAnsiTheme="majorHAnsi" w:cstheme="majorBidi"/>
      <w:color w:val="2F5496" w:themeColor="accent1" w:themeShade="BF"/>
      <w:sz w:val="26"/>
      <w:szCs w:val="26"/>
      <w:lang w:val="es-ES" w:eastAsia="es-CO"/>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Encabezado">
    <w:name w:val="header"/>
    <w:basedOn w:val="Normal"/>
    <w:link w:val="EncabezadoCar"/>
    <w:uiPriority w:val="99"/>
    <w:unhideWhenUsed/>
    <w:rsid w:val="006B09AF"/>
    <w:pPr>
      <w:tabs>
        <w:tab w:val="center" w:pos="4419"/>
        <w:tab w:val="right" w:pos="8838"/>
      </w:tabs>
    </w:pPr>
  </w:style>
  <w:style w:type="character" w:customStyle="1" w:styleId="EncabezadoCar">
    <w:name w:val="Encabezado Car"/>
    <w:basedOn w:val="Fuentedeprrafopredeter"/>
    <w:link w:val="Encabezado"/>
    <w:uiPriority w:val="99"/>
    <w:rsid w:val="006B09AF"/>
  </w:style>
  <w:style w:type="paragraph" w:styleId="Piedepgina">
    <w:name w:val="footer"/>
    <w:basedOn w:val="Normal"/>
    <w:link w:val="PiedepginaCar"/>
    <w:uiPriority w:val="99"/>
    <w:unhideWhenUsed/>
    <w:rsid w:val="006B09AF"/>
    <w:pPr>
      <w:tabs>
        <w:tab w:val="center" w:pos="4419"/>
        <w:tab w:val="right" w:pos="8838"/>
      </w:tabs>
    </w:pPr>
  </w:style>
  <w:style w:type="character" w:customStyle="1" w:styleId="PiedepginaCar">
    <w:name w:val="Pie de página Car"/>
    <w:basedOn w:val="Fuentedeprrafopredeter"/>
    <w:link w:val="Piedepgina"/>
    <w:uiPriority w:val="99"/>
    <w:rsid w:val="006B09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s://bogota.gov.co/"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https://asociaciondidactica.es/habilidades-steam/" TargetMode="External"/><Relationship Id="rId17" Type="http://schemas.openxmlformats.org/officeDocument/2006/relationships/hyperlink" Target="https://www.educacionbogota.edu.co/portal_institucional/inicio"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andicom.co/"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asociaciondidactica.es/habilidades-steam/"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10" Type="http://schemas.openxmlformats.org/officeDocument/2006/relationships/hyperlink" Target="https://asociaciondidactica.es/habilidades-steam/"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8.png"/></Relationships>
</file>

<file path=word/_rels/footnotes.xml.rels><?xml version="1.0" encoding="UTF-8" standalone="yes"?>
<Relationships xmlns="http://schemas.openxmlformats.org/package/2006/relationships"><Relationship Id="rId8" Type="http://schemas.openxmlformats.org/officeDocument/2006/relationships/hyperlink" Target="https://doi.org/10.5209/rced.77261" TargetMode="External"/><Relationship Id="rId13" Type="http://schemas.openxmlformats.org/officeDocument/2006/relationships/hyperlink" Target="https://www.cauca.gov.co" TargetMode="External"/><Relationship Id="rId18" Type="http://schemas.openxmlformats.org/officeDocument/2006/relationships/hyperlink" Target="https://www.dane.gov.co/files/investigaciones/notas-estadisticas/dic-2021-nota-estadistica-juventud-en-colombia.pdf" TargetMode="External"/><Relationship Id="rId26" Type="http://schemas.openxmlformats.org/officeDocument/2006/relationships/hyperlink" Target="https://www.alcaldiabogota.gov.co/sisjur/adminverblobawa?f_NORMFIL_FILE=X&amp;inputfileext=NORMFIL_FILENAME&amp;p_NORMFIL_ID=33435&amp;tabla=T_NORMA_ARCHIVO&amp;utm_source=chatgpt.com" TargetMode="External"/><Relationship Id="rId3" Type="http://schemas.openxmlformats.org/officeDocument/2006/relationships/hyperlink" Target="https://www.infobae.com/educacion/2023/12/14/el-enfoque-de-educacion-steam-ya-se-aplica-en-las-aulas-de-america-latina" TargetMode="External"/><Relationship Id="rId21" Type="http://schemas.openxmlformats.org/officeDocument/2006/relationships/hyperlink" Target="https://revistas.unicordoba.edu.co/index.php/asinf/article/view/2721" TargetMode="External"/><Relationship Id="rId7" Type="http://schemas.openxmlformats.org/officeDocument/2006/relationships/hyperlink" Target="https://lac.unwomen.org/es/stories/noticia/2022/02/necesitamos-mas-mujeres-en-carreras-stem" TargetMode="External"/><Relationship Id="rId12" Type="http://schemas.openxmlformats.org/officeDocument/2006/relationships/hyperlink" Target="https://www.cauca.gov.co" TargetMode="External"/><Relationship Id="rId17" Type="http://schemas.openxmlformats.org/officeDocument/2006/relationships/hyperlink" Target="https://www.larepublica.co" TargetMode="External"/><Relationship Id="rId25" Type="http://schemas.openxmlformats.org/officeDocument/2006/relationships/hyperlink" Target="https://www.ole.gov.co/empleo-tecnologico-bogota-2022" TargetMode="External"/><Relationship Id="rId2" Type="http://schemas.openxmlformats.org/officeDocument/2006/relationships/hyperlink" Target="https://doi.org/10.5565/rev/ensciencias.3093" TargetMode="External"/><Relationship Id="rId16" Type="http://schemas.openxmlformats.org/officeDocument/2006/relationships/hyperlink" Target="https://www.larepublica.co" TargetMode="External"/><Relationship Id="rId20" Type="http://schemas.openxmlformats.org/officeDocument/2006/relationships/hyperlink" Target="https://minciencias.gov.co/colombia-robotica" TargetMode="External"/><Relationship Id="rId1" Type="http://schemas.openxmlformats.org/officeDocument/2006/relationships/hyperlink" Target="https://iddocente.com/estrategias-efectivas-para-educacion-steam/" TargetMode="External"/><Relationship Id="rId6" Type="http://schemas.openxmlformats.org/officeDocument/2006/relationships/hyperlink" Target="https://lac.unwomen.org/es/stories/noticia/2022/02/necesitamos-mas-mujeres-en-carreras-stem" TargetMode="External"/><Relationship Id="rId11" Type="http://schemas.openxmlformats.org/officeDocument/2006/relationships/hyperlink" Target="https://www.mineducacion.gov.co" TargetMode="External"/><Relationship Id="rId24" Type="http://schemas.openxmlformats.org/officeDocument/2006/relationships/hyperlink" Target="https://www.sdp.gov.co/sites/default/files/informacion-institucional/inversion-educacion-2020.pdf" TargetMode="External"/><Relationship Id="rId5" Type="http://schemas.openxmlformats.org/officeDocument/2006/relationships/hyperlink" Target="https://doi.org/10.12795/pixelbit.73672" TargetMode="External"/><Relationship Id="rId15" Type="http://schemas.openxmlformats.org/officeDocument/2006/relationships/hyperlink" Target="https://www.semana.com" TargetMode="External"/><Relationship Id="rId23" Type="http://schemas.openxmlformats.org/officeDocument/2006/relationships/hyperlink" Target="https://blogs.iadb.org/trabajo/es/stem-steam-el-sector-que-necesita-mas-mujeres/" TargetMode="External"/><Relationship Id="rId10" Type="http://schemas.openxmlformats.org/officeDocument/2006/relationships/hyperlink" Target="https://www.mineducacion.gov.co" TargetMode="External"/><Relationship Id="rId19" Type="http://schemas.openxmlformats.org/officeDocument/2006/relationships/hyperlink" Target="https://www.mineducacion.gov.co/1780/articles-406829_recurso_28.pdf" TargetMode="External"/><Relationship Id="rId4" Type="http://schemas.openxmlformats.org/officeDocument/2006/relationships/hyperlink" Target="https://www.movimientostem.org/wp-content/uploads/2021/03/Informe-anual-2020_Movimiento-STEAM.pdf" TargetMode="External"/><Relationship Id="rId9" Type="http://schemas.openxmlformats.org/officeDocument/2006/relationships/hyperlink" Target="https://unesdoc.unesco.org/ark:/48223/pf0000247444" TargetMode="External"/><Relationship Id="rId14" Type="http://schemas.openxmlformats.org/officeDocument/2006/relationships/hyperlink" Target="https://www.semana.com" TargetMode="External"/><Relationship Id="rId22" Type="http://schemas.openxmlformats.org/officeDocument/2006/relationships/hyperlink" Target="https://www.larepublica.co/especiales/colombia-gamer/en-el-pais-hay-80-empresas-que-desarrollan-juegos-3677782" TargetMode="External"/><Relationship Id="rId27" Type="http://schemas.openxmlformats.org/officeDocument/2006/relationships/hyperlink" Target="https://www.alcaldiabogota.gov.co/sisjur/adminverblobawa?f_NORMFIL_FILE=X&amp;inputfileext=NORMFIL_FILENAME&amp;p_NORMFIL_ID=33435&amp;tabla=T_NORMA_ARCHIVO&amp;utm_source=chatgp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WfZv0gfCnVyeNobDTvMQXO05aA==">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</go:docsCustomData>
</go:gDocsCustomXmlDataStorage>
</file>

<file path=customXml/item2.xml><?xml version="1.0" encoding="utf-8"?>
<b:Sources xmlns:b="http://schemas.openxmlformats.org/officeDocument/2006/bibliography" StyleName="APA" SelectedStyle="/APASixthEditionOfficeOnline.xsl" Version="6">
  <b:Source>
    <b:Tag>source1</b:Tag>
    <b:SourceType>Book</b:SourceType>
    <b:Title>¿Qué es la educación STEAM? El enfoque educativo del siglo XXI</b:Title>
    <b:URL>https://www.rededuca.net/blog/educacion-y-docencia/educacion-steam</b:URL>
    <b:Year>2023</b:Year>
    <b:Gdcea>{"AccessedType":"Website"}</b:Gdcea>
    <b:Author>
      <b:Author>
        <b:Corporate>Red Educa</b:Corporate>
      </b:Author>
    </b:Author>
  </b:Source>
  <b:Source>
    <b:Tag>source2</b:Tag>
    <b:SourceType>DocumentFromInternetSite</b:SourceType>
    <b:Title>ESTRATEGIAS EFECTIVAS PARA LA EDUCACIÓN STEAM</b:Title>
    <b:URL>https://iddocente.com/estrategias-efectivas-para-educacion-steam/</b:URL>
    <b:Year>2024</b:Year>
    <b:Gdcea>{"AccessedType":"Website"}</b:Gdcea>
    <b:Author>
      <b:Author>
        <b:Corporate>Innovación y Desarrollo Docente</b:Corporate>
      </b:Author>
    </b:Author>
  </b:Source>
  <b:Source>
    <b:Tag>source3</b:Tag>
    <b:SourceType>DocumentFromInternetSite</b:SourceType>
    <b:Title>EL ENFOQUE STEM – STEAM EN LA EDUCACIÓN CIENTÍFICA: TENDENCIAS Y PERSPECTIVAS EN PUBLICACIONES ESPECIALIZADAS: UNA MIRADA DESDE CIENCIA, ARTE Y TECNOLOGÍA.</b:Title>
    <b:URL>http://repository.pedagogica.edu.co/bitstream/handle/20.500.12209/18439/EL%20ENFOQUE%20STEM.pdf?sequence=3</b:URL>
    <b:Year>2023</b:Year>
    <b:Gdcea>{"AccessedType":"Website"}</b:Gdcea>
    <b:Author>
      <b:Author>
        <b:Corporate>Universidad Pedagógica Nacional</b:Corporate>
      </b:Author>
    </b:Author>
  </b:Source>
  <b:Source>
    <b:Tag>source4</b:Tag>
    <b:SourceType>DocumentFromInternetSite</b:SourceType>
    <b:Title>Educación STEM/STEAM: Modelos de implementación, estrategias didácticas y ambientes de aprendizaje que potencian las habilidades para el siglo XXI</b:Title>
    <b:URL>https://www.academia.edu/43255509/Educaci%C3%B3n_STEM_STEAM_Modelos_de_implementaci%C3%B3n_estrategias_did%C3%A1cticas_y_ambientes_de_aprendizaje_que_potencian_las_habilidades_para_el_siglo_XXI</b:URL>
    <b:Year>2020</b:Year>
    <b:Gdcea>{"AccessedType":"Website"}</b:Gdcea>
    <b:Author>
      <b:Author>
        <b:Corporate>Latin American Journal of Science Education</b:Corporate>
      </b:Author>
    </b:Author>
  </b:Source>
  <b:Source>
    <b:Tag>source5</b:Tag>
    <b:SourceType>DocumentFromInternetSite</b:SourceType>
    <b:Title>Iniciativa STEAM_Pasca rural: Una colaboración internacional para el desarrollo de metodologías STEAM en áreas rurales</b:Title>
    <b:URL>https://recursos.educoas.org/sites/default/files/5002.pdf</b:URL>
    <b:Year>2017</b:Year>
    <b:Gdcea>{"AccessedType":"Website"}</b:Gdcea>
    <b:Author>
      <b:Author>
        <b:Corporate>Columbia College Chicago</b:Corporate>
      </b:Author>
    </b:Author>
  </b:Source>
  <b:Source>
    <b:Tag>source6</b:Tag>
    <b:SourceType>DocumentFromInternetSite</b:SourceType>
    <b:Title>Cómics y proyectos STEAM para motivar a jóvenes en entornos vulnerables</b:Title>
    <b:URL>https://xvi-ponencias.ciaem-iacme.org/index.php/xviciaem/xviciaem/paper/viewFile/2183/1183</b:URL>
    <b:Year>2023</b:Year>
    <b:Gdcea>{"AccessedType":"Website"}</b:Gdcea>
    <b:Author>
      <b:Author>
        <b:Corporate>Fundación DECA Desarrollo Educación Calidad</b:Corporate>
      </b:Author>
    </b:Author>
  </b:Source>
  <b:Source>
    <b:Tag>source7</b:Tag>
    <b:SourceType>DocumentFromInternetSite</b:SourceType>
    <b:Title>STEAM, sociedad y extensión universitaria en Colombia: Una propuesta preliminar desde el Buen Vivir</b:Title>
    <b:URL>https://dialnet.unirioja.es/descarga/articulo/7845276.pdf</b:URL>
    <b:Year>2020</b:Year>
    <b:Gdcea>{"AccessedType":"Website"}</b:Gdcea>
    <b:Author>
      <b:Author>
        <b:Corporate>Universidad Nacional de Colombia – Sede Bogotá</b:Corporate>
      </b:Author>
    </b:Author>
  </b:Source>
  <b:Source>
    <b:Tag>source8</b:Tag>
    <b:SourceType>DocumentFromInternetSite</b:SourceType>
    <b:Title>1 de cada 2 jóvenes en Colombia no estudian, ni trabajan o se encuentran en la informalidad</b:Title>
    <b:URL>https://www.fundacioncorona.org/es/biblioteca/blog/1-de-cada-2-jovenes-en-colombia-no-estudian-ni-trabajan-o-se-encuentran-en-la</b:URL>
    <b:Year>2022</b:Year>
    <b:Gdcea>{"AccessedType":"Website"}</b:Gdcea>
    <b:Author>
      <b:Author>
        <b:Corporate>Fundación Corona</b:Corporate>
      </b:Author>
    </b:Author>
  </b:Source>
  <b:Source>
    <b:Tag>source9</b:Tag>
    <b:SourceType>DocumentFromInternetSite</b:SourceType>
    <b:Title>Educar con impacto: un compromiso de Bogotá Territorio STEM</b:Title>
    <b:URL>https://www.redacademica.edu.co/educar-con-impacto-un-compromiso-de-bogota-territorio-stem</b:URL>
    <b:InternetSiteTitle>RA 2.0</b:InternetSiteTitle>
    <b:Year>2023</b:Year>
    <b:Gdcea>{"AccessedType":"Website"}</b:Gdcea>
    <b:Author>
      <b:Author>
        <b:Corporate>RA 2.0</b:Corporate>
      </b:Author>
    </b:Author>
  </b:Source>
  <b:Source>
    <b:Tag>source10</b:Tag>
    <b:SourceType>DocumentFromInternetSite</b:SourceType>
    <b:Title>Inician las Olimpiadas STEM 2024 en los colegios distritales de Bogotá</b:Title>
    <b:URL>https://bogota.gov.co/mi-ciudad/educacion/olimpiadas-stem-2024-inician-en-los-colegios-publicos-de-bogota</b:URL>
    <b:Year>2024</b:Year>
    <b:Gdcea>{"AccessedType":"Website"}</b:Gdcea>
    <b:Author>
      <b:Author>
        <b:Corporate>Secretaria de Educación Bogotá</b:Corporate>
      </b:Author>
    </b:Author>
  </b:Source>
  <b:Source>
    <b:Tag>source11</b:Tag>
    <b:SourceType>DocumentFromInternetSite</b:SourceType>
    <b:Title>Innovador bootcamp capacitó a 20 niñas colombianas en áreas STEAM</b:Title>
    <b:URL>https://economiaydesarrollo.com/2024/11/10/innovador-bootcamp-capacito-a-20-ninas-colombianas-en-areas-steam/</b:URL>
    <b:Year>2024</b:Year>
    <b:Gdcea>{"AccessedType":"Website"}</b:Gdcea>
    <b:Author>
      <b:Author>
        <b:Corporate>Economía y Desarrollo</b:Corporate>
      </b:Author>
    </b:Author>
  </b:Source>
  <b:Source>
    <b:Tag>source12</b:Tag>
    <b:SourceType>DocumentFromInternetSite</b:SourceType>
    <b:Title>Bogotá es declarada territorio STEM</b:Title>
    <b:URL>https://www.educacionbogota.edu.co/portal_institucional/noticia/pacto-historico-bogota-es-declarada-territorio-stem</b:URL>
    <b:Year>2021</b:Year>
    <b:Gdcea>{"AccessedType":"Website"}</b:Gdcea>
    <b:Author>
      <b:Author>
        <b:Corporate>Secretaria de Educación</b:Corporate>
      </b:Author>
    </b:Author>
  </b:Source>
  <b:Source>
    <b:Tag>source13</b:Tag>
    <b:SourceType>DocumentFromInternetSite</b:SourceType>
    <b:Title>Bogotá presenta la política educativa rural: una apuesta para cerrar brechas entre el campo y la ciudad</b:Title>
    <b:URL>https://www.educacionbogota.edu.co/portal_institucional/noticia/bogota-presenta-la-politica-educativa-rural-una-apuesta-para-cerrar-brechas-entre-el-campo</b:URL>
    <b:Year>2021</b:Year>
    <b:Gdcea>{"AccessedType":"Website"}</b:Gdcea>
    <b:Author>
      <b:Author>
        <b:Corporate>Secretaria de Educación</b:Corporate>
      </b:Author>
    </b:Author>
  </b:Source>
  <b:Source>
    <b:Tag>source14</b:Tag>
    <b:SourceType>DocumentFromInternetSite</b:SourceType>
    <b:Title>1 de cada 2 jóvenes en Colombia no estudian, ni trabajan o se encuentran en la informalidad</b:Title>
    <b:URL>https://www.fundacioncorona.org/es/biblioteca/blog/1-de-cada-2-jovenes-en-colombia-no-estudian-ni-trabajan-o-se-encuentran-en-la</b:URL>
    <b:Year>2022</b:Year>
    <b:Gdcea>{"AccessedType":"Website"}</b:Gdcea>
    <b:Author>
      <b:Author>
        <b:Corporate>Fundación Corona</b:Corporate>
      </b:Author>
    </b:Author>
  </b:Source>
  <b:Source>
    <b:Tag>source15</b:Tag>
    <b:SourceType>DocumentFromInternetSite</b:SourceType>
    <b:Title>Informe Nacional de Resultados</b:Title>
    <b:URL>https://www.icfes.gov.co/documents/20143/2211695/Informe+nacional+de+resultados+Saber+11+2020.pdf. 2021</b:URL>
    <b:Year>2021</b:Year>
    <b:Gdcea>{"AccessedType":"Website"}</b:Gdcea>
    <b:Author>
      <b:Author>
        <b:Corporate>ICFES</b:Corporate>
      </b:Author>
    </b:Author>
  </b:Source>
  <b:Source>
    <b:Tag>source16</b:Tag>
    <b:SourceType>DocumentFromInternetSite</b:SourceType>
    <b:Title>Más de 250 colegios distritales están revolucionando sus aulas con el enfoque STEM</b:Title>
    <b:URL>https://www.educacionbogota.edu.co/portal_institucional/noticia/mas-de-250-colegios-distritales-estan-revolucionando-sus-aulas-con-el-enfoque-stem</b:URL>
    <b:Year>2022</b:Year>
    <b:Gdcea>{"AccessedType":"Website"}</b:Gdcea>
    <b:Author>
      <b:Author>
        <b:Corporate>Secretaria de Educación</b:Corporate>
      </b:Author>
    </b:Author>
  </b:Source>
  <b:Source>
    <b:Tag>source17</b:Tag>
    <b:SourceType>DocumentFromInternetSite</b:SourceType>
    <b:Title>DESARROLLO DE LAS HABILIDADES BLANDAS: TRABAJO EN EQUIPO Y ALTERIDAD, A TRAVÉS DE LA ATE ORGANISMOS GENÉTICAMENTE MODIFICADOS CON ESTUDIANTES DE GRADO NOVENO DEL COLEGIO SAN LUCAS (BOGOTÁ – COLOMBIA)</b:Title>
    <b:URL>https://repository.udistrital.edu.co/server/api/core/bitstreams/b4869488-8f4b-48cb-94a9-ad4e5dfafed9/content</b:URL>
    <b:Year>2021</b:Year>
    <b:Gdcea>{"AccessedType":"Website"}</b:Gdcea>
    <b:Author>
      <b:Author>
        <b:Corporate>UNIVERSIDAD DISTRITAL FRANCISCO JOSÉ DE CALDAS</b:Corporate>
      </b:Author>
    </b:Autho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341F15-57A5-420E-B468-15BCF5CA9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41</Pages>
  <Words>13224</Words>
  <Characters>72737</Characters>
  <Application>Microsoft Office Word</Application>
  <DocSecurity>0</DocSecurity>
  <Lines>606</Lines>
  <Paragraphs>171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boada</dc:creator>
  <cp:lastModifiedBy>CLAUDIA TERESA SUAREZ NIÑO</cp:lastModifiedBy>
  <cp:revision>6</cp:revision>
  <dcterms:created xsi:type="dcterms:W3CDTF">2024-12-16T19:51:00Z</dcterms:created>
  <dcterms:modified xsi:type="dcterms:W3CDTF">2025-10-21T18:00:00Z</dcterms:modified>
</cp:coreProperties>
</file>